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48A" w:rsidRPr="005A548A" w:rsidRDefault="005A548A" w:rsidP="005A548A">
      <w:pPr>
        <w:pStyle w:val="ListParagraph"/>
        <w:numPr>
          <w:ilvl w:val="0"/>
          <w:numId w:val="1"/>
        </w:numPr>
        <w:spacing w:after="0" w:line="240" w:lineRule="auto"/>
        <w:rPr>
          <w:rFonts w:ascii="Cambria" w:eastAsia="Times New Roman" w:hAnsi="Cambria" w:cs="Arial"/>
          <w:color w:val="000000"/>
          <w:sz w:val="24"/>
          <w:szCs w:val="24"/>
          <w:shd w:val="clear" w:color="auto" w:fill="FFFFFF"/>
        </w:rPr>
      </w:pPr>
      <w:r w:rsidRPr="005A548A">
        <w:rPr>
          <w:rFonts w:ascii="Cambria" w:eastAsia="Times New Roman" w:hAnsi="Cambria" w:cs="Arial"/>
          <w:color w:val="000000"/>
          <w:sz w:val="24"/>
          <w:szCs w:val="24"/>
          <w:shd w:val="clear" w:color="auto" w:fill="FFFFFF"/>
        </w:rPr>
        <w:t>New Tax slabs under New Tax Regime</w:t>
      </w:r>
    </w:p>
    <w:p w:rsidR="005A548A" w:rsidRDefault="005A548A" w:rsidP="005A548A">
      <w:pPr>
        <w:spacing w:after="0" w:line="240" w:lineRule="auto"/>
        <w:rPr>
          <w:rFonts w:ascii="Cambria" w:eastAsia="Times New Roman" w:hAnsi="Cambria" w:cs="Arial"/>
          <w:color w:val="000000"/>
          <w:sz w:val="24"/>
          <w:szCs w:val="24"/>
          <w:shd w:val="clear" w:color="auto" w:fill="FFFFFF"/>
        </w:rPr>
      </w:pPr>
      <w:r w:rsidRPr="005A548A">
        <w:rPr>
          <w:rFonts w:ascii="Cambria" w:eastAsia="Times New Roman" w:hAnsi="Cambria" w:cs="Arial"/>
          <w:color w:val="000000"/>
          <w:sz w:val="24"/>
          <w:szCs w:val="24"/>
          <w:shd w:val="clear" w:color="auto" w:fill="FFFFFF"/>
        </w:rPr>
        <w:t>Income tax slabs for FY2023-24 under the new tax regime are as follows:</w:t>
      </w:r>
    </w:p>
    <w:p w:rsidR="005A548A" w:rsidRPr="005A548A" w:rsidRDefault="005A548A" w:rsidP="005A548A">
      <w:pPr>
        <w:spacing w:after="0" w:line="240" w:lineRule="auto"/>
        <w:rPr>
          <w:rFonts w:ascii="Cambria" w:eastAsia="Times New Roman" w:hAnsi="Cambria" w:cs="Times New Roman"/>
          <w:sz w:val="24"/>
          <w:szCs w:val="24"/>
        </w:rPr>
      </w:pPr>
    </w:p>
    <w:tbl>
      <w:tblPr>
        <w:tblW w:w="6663" w:type="dxa"/>
        <w:tblCellMar>
          <w:left w:w="0" w:type="dxa"/>
          <w:right w:w="0" w:type="dxa"/>
        </w:tblCellMar>
        <w:tblLook w:val="04A0"/>
      </w:tblPr>
      <w:tblGrid>
        <w:gridCol w:w="3387"/>
        <w:gridCol w:w="3276"/>
      </w:tblGrid>
      <w:tr w:rsidR="005A548A" w:rsidRPr="005A548A" w:rsidTr="005A548A">
        <w:trPr>
          <w:trHeight w:val="342"/>
        </w:trPr>
        <w:tc>
          <w:tcPr>
            <w:tcW w:w="46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5A548A" w:rsidRPr="005A548A" w:rsidRDefault="005A548A" w:rsidP="005A548A">
            <w:pPr>
              <w:spacing w:after="0" w:line="240" w:lineRule="auto"/>
              <w:rPr>
                <w:rFonts w:ascii="Cambria" w:eastAsia="Times New Roman" w:hAnsi="Cambria" w:cs="Times New Roman"/>
                <w:sz w:val="24"/>
                <w:szCs w:val="24"/>
              </w:rPr>
            </w:pPr>
            <w:r w:rsidRPr="005A548A">
              <w:rPr>
                <w:rFonts w:ascii="Cambria" w:eastAsia="Times New Roman" w:hAnsi="Cambria" w:cs="Times New Roman"/>
                <w:b/>
                <w:bCs/>
                <w:sz w:val="24"/>
                <w:szCs w:val="24"/>
              </w:rPr>
              <w:t>Income tax slabs (In Rs)</w:t>
            </w:r>
            <w:r w:rsidRPr="005A548A">
              <w:rPr>
                <w:rFonts w:ascii="Cambria" w:eastAsia="Times New Roman" w:hAnsi="Cambria" w:cs="Times New Roman"/>
                <w:sz w:val="24"/>
                <w:szCs w:val="24"/>
              </w:rPr>
              <w:br/>
            </w:r>
          </w:p>
        </w:tc>
        <w:tc>
          <w:tcPr>
            <w:tcW w:w="46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A548A" w:rsidRPr="005A548A" w:rsidRDefault="005A548A" w:rsidP="005A548A">
            <w:pPr>
              <w:spacing w:after="0" w:line="240" w:lineRule="auto"/>
              <w:rPr>
                <w:rFonts w:ascii="Cambria" w:eastAsia="Times New Roman" w:hAnsi="Cambria" w:cs="Times New Roman"/>
                <w:sz w:val="24"/>
                <w:szCs w:val="24"/>
              </w:rPr>
            </w:pPr>
            <w:r w:rsidRPr="005A548A">
              <w:rPr>
                <w:rFonts w:ascii="Cambria" w:eastAsia="Times New Roman" w:hAnsi="Cambria" w:cs="Times New Roman"/>
                <w:b/>
                <w:bCs/>
                <w:sz w:val="24"/>
                <w:szCs w:val="24"/>
              </w:rPr>
              <w:t>Income tax rate (%)</w:t>
            </w:r>
            <w:r w:rsidRPr="005A548A">
              <w:rPr>
                <w:rFonts w:ascii="Cambria" w:eastAsia="Times New Roman" w:hAnsi="Cambria" w:cs="Times New Roman"/>
                <w:sz w:val="24"/>
                <w:szCs w:val="24"/>
              </w:rPr>
              <w:br/>
            </w:r>
          </w:p>
        </w:tc>
      </w:tr>
      <w:tr w:rsidR="005A548A" w:rsidRPr="005A548A" w:rsidTr="005A548A">
        <w:trPr>
          <w:trHeight w:val="323"/>
        </w:trPr>
        <w:tc>
          <w:tcPr>
            <w:tcW w:w="46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5A548A" w:rsidRPr="005A548A" w:rsidRDefault="005A548A" w:rsidP="005A548A">
            <w:pPr>
              <w:spacing w:after="0" w:line="240" w:lineRule="auto"/>
              <w:rPr>
                <w:rFonts w:ascii="Cambria" w:eastAsia="Times New Roman" w:hAnsi="Cambria" w:cs="Times New Roman"/>
                <w:sz w:val="24"/>
                <w:szCs w:val="24"/>
              </w:rPr>
            </w:pPr>
            <w:r w:rsidRPr="005A548A">
              <w:rPr>
                <w:rFonts w:ascii="Cambria" w:eastAsia="Times New Roman" w:hAnsi="Cambria" w:cs="Times New Roman"/>
                <w:sz w:val="24"/>
                <w:szCs w:val="24"/>
              </w:rPr>
              <w:t>0-3,00,000</w:t>
            </w:r>
            <w:r w:rsidRPr="005A548A">
              <w:rPr>
                <w:rFonts w:ascii="Cambria" w:eastAsia="Times New Roman" w:hAnsi="Cambria" w:cs="Times New Roman"/>
                <w:sz w:val="24"/>
                <w:szCs w:val="24"/>
              </w:rPr>
              <w:br/>
            </w:r>
          </w:p>
        </w:tc>
        <w:tc>
          <w:tcPr>
            <w:tcW w:w="46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A548A" w:rsidRPr="005A548A" w:rsidRDefault="005A548A" w:rsidP="005A548A">
            <w:pPr>
              <w:spacing w:after="0" w:line="240" w:lineRule="auto"/>
              <w:rPr>
                <w:rFonts w:ascii="Cambria" w:eastAsia="Times New Roman" w:hAnsi="Cambria" w:cs="Times New Roman"/>
                <w:sz w:val="24"/>
                <w:szCs w:val="24"/>
              </w:rPr>
            </w:pPr>
            <w:r w:rsidRPr="005A548A">
              <w:rPr>
                <w:rFonts w:ascii="Cambria" w:eastAsia="Times New Roman" w:hAnsi="Cambria" w:cs="Times New Roman"/>
                <w:sz w:val="24"/>
                <w:szCs w:val="24"/>
              </w:rPr>
              <w:t>0</w:t>
            </w:r>
            <w:r w:rsidRPr="005A548A">
              <w:rPr>
                <w:rFonts w:ascii="Cambria" w:eastAsia="Times New Roman" w:hAnsi="Cambria" w:cs="Times New Roman"/>
                <w:sz w:val="24"/>
                <w:szCs w:val="24"/>
              </w:rPr>
              <w:br/>
            </w:r>
          </w:p>
        </w:tc>
      </w:tr>
      <w:tr w:rsidR="005A548A" w:rsidRPr="005A548A" w:rsidTr="005A548A">
        <w:trPr>
          <w:trHeight w:val="342"/>
        </w:trPr>
        <w:tc>
          <w:tcPr>
            <w:tcW w:w="46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5A548A" w:rsidRPr="005A548A" w:rsidRDefault="005A548A" w:rsidP="005A548A">
            <w:pPr>
              <w:spacing w:after="0" w:line="240" w:lineRule="auto"/>
              <w:rPr>
                <w:rFonts w:ascii="Cambria" w:eastAsia="Times New Roman" w:hAnsi="Cambria" w:cs="Times New Roman"/>
                <w:sz w:val="24"/>
                <w:szCs w:val="24"/>
              </w:rPr>
            </w:pPr>
            <w:r w:rsidRPr="005A548A">
              <w:rPr>
                <w:rFonts w:ascii="Cambria" w:eastAsia="Times New Roman" w:hAnsi="Cambria" w:cs="Times New Roman"/>
                <w:sz w:val="24"/>
                <w:szCs w:val="24"/>
              </w:rPr>
              <w:t>3,00,001-6,00,000</w:t>
            </w:r>
            <w:r w:rsidRPr="005A548A">
              <w:rPr>
                <w:rFonts w:ascii="Cambria" w:eastAsia="Times New Roman" w:hAnsi="Cambria" w:cs="Times New Roman"/>
                <w:sz w:val="24"/>
                <w:szCs w:val="24"/>
              </w:rPr>
              <w:br/>
            </w:r>
          </w:p>
        </w:tc>
        <w:tc>
          <w:tcPr>
            <w:tcW w:w="46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A548A" w:rsidRPr="005A548A" w:rsidRDefault="005A548A" w:rsidP="005A548A">
            <w:pPr>
              <w:spacing w:after="0" w:line="240" w:lineRule="auto"/>
              <w:rPr>
                <w:rFonts w:ascii="Cambria" w:eastAsia="Times New Roman" w:hAnsi="Cambria" w:cs="Times New Roman"/>
                <w:sz w:val="24"/>
                <w:szCs w:val="24"/>
              </w:rPr>
            </w:pPr>
            <w:r w:rsidRPr="005A548A">
              <w:rPr>
                <w:rFonts w:ascii="Cambria" w:eastAsia="Times New Roman" w:hAnsi="Cambria" w:cs="Times New Roman"/>
                <w:sz w:val="24"/>
                <w:szCs w:val="24"/>
              </w:rPr>
              <w:t>5</w:t>
            </w:r>
            <w:r w:rsidRPr="005A548A">
              <w:rPr>
                <w:rFonts w:ascii="Cambria" w:eastAsia="Times New Roman" w:hAnsi="Cambria" w:cs="Times New Roman"/>
                <w:sz w:val="24"/>
                <w:szCs w:val="24"/>
              </w:rPr>
              <w:br/>
            </w:r>
          </w:p>
        </w:tc>
      </w:tr>
      <w:tr w:rsidR="005A548A" w:rsidRPr="005A548A" w:rsidTr="005A548A">
        <w:trPr>
          <w:trHeight w:val="323"/>
        </w:trPr>
        <w:tc>
          <w:tcPr>
            <w:tcW w:w="46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5A548A" w:rsidRPr="005A548A" w:rsidRDefault="005A548A" w:rsidP="005A548A">
            <w:pPr>
              <w:spacing w:after="0" w:line="240" w:lineRule="auto"/>
              <w:rPr>
                <w:rFonts w:ascii="Cambria" w:eastAsia="Times New Roman" w:hAnsi="Cambria" w:cs="Times New Roman"/>
                <w:sz w:val="24"/>
                <w:szCs w:val="24"/>
              </w:rPr>
            </w:pPr>
            <w:r w:rsidRPr="005A548A">
              <w:rPr>
                <w:rFonts w:ascii="Cambria" w:eastAsia="Times New Roman" w:hAnsi="Cambria" w:cs="Times New Roman"/>
                <w:sz w:val="24"/>
                <w:szCs w:val="24"/>
              </w:rPr>
              <w:t>6,00,001-9,00,000</w:t>
            </w:r>
            <w:r w:rsidRPr="005A548A">
              <w:rPr>
                <w:rFonts w:ascii="Cambria" w:eastAsia="Times New Roman" w:hAnsi="Cambria" w:cs="Times New Roman"/>
                <w:sz w:val="24"/>
                <w:szCs w:val="24"/>
              </w:rPr>
              <w:br/>
            </w:r>
          </w:p>
        </w:tc>
        <w:tc>
          <w:tcPr>
            <w:tcW w:w="46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A548A" w:rsidRPr="005A548A" w:rsidRDefault="005A548A" w:rsidP="005A548A">
            <w:pPr>
              <w:spacing w:after="0" w:line="240" w:lineRule="auto"/>
              <w:rPr>
                <w:rFonts w:ascii="Cambria" w:eastAsia="Times New Roman" w:hAnsi="Cambria" w:cs="Times New Roman"/>
                <w:sz w:val="24"/>
                <w:szCs w:val="24"/>
              </w:rPr>
            </w:pPr>
            <w:r w:rsidRPr="005A548A">
              <w:rPr>
                <w:rFonts w:ascii="Cambria" w:eastAsia="Times New Roman" w:hAnsi="Cambria" w:cs="Times New Roman"/>
                <w:sz w:val="24"/>
                <w:szCs w:val="24"/>
              </w:rPr>
              <w:t>10</w:t>
            </w:r>
            <w:r w:rsidRPr="005A548A">
              <w:rPr>
                <w:rFonts w:ascii="Cambria" w:eastAsia="Times New Roman" w:hAnsi="Cambria" w:cs="Times New Roman"/>
                <w:sz w:val="24"/>
                <w:szCs w:val="24"/>
              </w:rPr>
              <w:br/>
            </w:r>
          </w:p>
        </w:tc>
      </w:tr>
      <w:tr w:rsidR="005A548A" w:rsidRPr="005A548A" w:rsidTr="005A548A">
        <w:trPr>
          <w:trHeight w:val="342"/>
        </w:trPr>
        <w:tc>
          <w:tcPr>
            <w:tcW w:w="46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5A548A" w:rsidRPr="005A548A" w:rsidRDefault="005A548A" w:rsidP="005A548A">
            <w:pPr>
              <w:spacing w:after="0" w:line="240" w:lineRule="auto"/>
              <w:rPr>
                <w:rFonts w:ascii="Cambria" w:eastAsia="Times New Roman" w:hAnsi="Cambria" w:cs="Times New Roman"/>
                <w:sz w:val="24"/>
                <w:szCs w:val="24"/>
              </w:rPr>
            </w:pPr>
            <w:r w:rsidRPr="005A548A">
              <w:rPr>
                <w:rFonts w:ascii="Cambria" w:eastAsia="Times New Roman" w:hAnsi="Cambria" w:cs="Times New Roman"/>
                <w:sz w:val="24"/>
                <w:szCs w:val="24"/>
              </w:rPr>
              <w:t>9,00,001-12,00,000</w:t>
            </w:r>
            <w:r w:rsidRPr="005A548A">
              <w:rPr>
                <w:rFonts w:ascii="Cambria" w:eastAsia="Times New Roman" w:hAnsi="Cambria" w:cs="Times New Roman"/>
                <w:sz w:val="24"/>
                <w:szCs w:val="24"/>
              </w:rPr>
              <w:br/>
            </w:r>
          </w:p>
        </w:tc>
        <w:tc>
          <w:tcPr>
            <w:tcW w:w="46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A548A" w:rsidRPr="005A548A" w:rsidRDefault="005A548A" w:rsidP="005A548A">
            <w:pPr>
              <w:spacing w:after="0" w:line="240" w:lineRule="auto"/>
              <w:rPr>
                <w:rFonts w:ascii="Cambria" w:eastAsia="Times New Roman" w:hAnsi="Cambria" w:cs="Times New Roman"/>
                <w:sz w:val="24"/>
                <w:szCs w:val="24"/>
              </w:rPr>
            </w:pPr>
            <w:r w:rsidRPr="005A548A">
              <w:rPr>
                <w:rFonts w:ascii="Cambria" w:eastAsia="Times New Roman" w:hAnsi="Cambria" w:cs="Times New Roman"/>
                <w:sz w:val="24"/>
                <w:szCs w:val="24"/>
              </w:rPr>
              <w:t>15</w:t>
            </w:r>
            <w:r w:rsidRPr="005A548A">
              <w:rPr>
                <w:rFonts w:ascii="Cambria" w:eastAsia="Times New Roman" w:hAnsi="Cambria" w:cs="Times New Roman"/>
                <w:sz w:val="24"/>
                <w:szCs w:val="24"/>
              </w:rPr>
              <w:br/>
            </w:r>
          </w:p>
        </w:tc>
      </w:tr>
      <w:tr w:rsidR="005A548A" w:rsidRPr="005A548A" w:rsidTr="005A548A">
        <w:trPr>
          <w:trHeight w:val="323"/>
        </w:trPr>
        <w:tc>
          <w:tcPr>
            <w:tcW w:w="46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5A548A" w:rsidRPr="005A548A" w:rsidRDefault="005A548A" w:rsidP="005A548A">
            <w:pPr>
              <w:spacing w:after="0" w:line="240" w:lineRule="auto"/>
              <w:rPr>
                <w:rFonts w:ascii="Cambria" w:eastAsia="Times New Roman" w:hAnsi="Cambria" w:cs="Times New Roman"/>
                <w:sz w:val="24"/>
                <w:szCs w:val="24"/>
              </w:rPr>
            </w:pPr>
            <w:r w:rsidRPr="005A548A">
              <w:rPr>
                <w:rFonts w:ascii="Cambria" w:eastAsia="Times New Roman" w:hAnsi="Cambria" w:cs="Times New Roman"/>
                <w:sz w:val="24"/>
                <w:szCs w:val="24"/>
              </w:rPr>
              <w:t>12,00,001-15,00,000</w:t>
            </w:r>
            <w:r w:rsidRPr="005A548A">
              <w:rPr>
                <w:rFonts w:ascii="Cambria" w:eastAsia="Times New Roman" w:hAnsi="Cambria" w:cs="Times New Roman"/>
                <w:sz w:val="24"/>
                <w:szCs w:val="24"/>
              </w:rPr>
              <w:br/>
            </w:r>
          </w:p>
        </w:tc>
        <w:tc>
          <w:tcPr>
            <w:tcW w:w="46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A548A" w:rsidRPr="005A548A" w:rsidRDefault="005A548A" w:rsidP="005A548A">
            <w:pPr>
              <w:spacing w:after="0" w:line="240" w:lineRule="auto"/>
              <w:rPr>
                <w:rFonts w:ascii="Cambria" w:eastAsia="Times New Roman" w:hAnsi="Cambria" w:cs="Times New Roman"/>
                <w:sz w:val="24"/>
                <w:szCs w:val="24"/>
              </w:rPr>
            </w:pPr>
            <w:r w:rsidRPr="005A548A">
              <w:rPr>
                <w:rFonts w:ascii="Cambria" w:eastAsia="Times New Roman" w:hAnsi="Cambria" w:cs="Times New Roman"/>
                <w:sz w:val="24"/>
                <w:szCs w:val="24"/>
              </w:rPr>
              <w:t>20</w:t>
            </w:r>
            <w:r w:rsidRPr="005A548A">
              <w:rPr>
                <w:rFonts w:ascii="Cambria" w:eastAsia="Times New Roman" w:hAnsi="Cambria" w:cs="Times New Roman"/>
                <w:sz w:val="24"/>
                <w:szCs w:val="24"/>
              </w:rPr>
              <w:br/>
            </w:r>
          </w:p>
        </w:tc>
      </w:tr>
      <w:tr w:rsidR="005A548A" w:rsidRPr="005A548A" w:rsidTr="005A548A">
        <w:trPr>
          <w:trHeight w:val="323"/>
        </w:trPr>
        <w:tc>
          <w:tcPr>
            <w:tcW w:w="46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5A548A" w:rsidRPr="005A548A" w:rsidRDefault="005A548A" w:rsidP="005A548A">
            <w:pPr>
              <w:spacing w:after="0" w:line="240" w:lineRule="auto"/>
              <w:rPr>
                <w:rFonts w:ascii="Cambria" w:eastAsia="Times New Roman" w:hAnsi="Cambria" w:cs="Times New Roman"/>
                <w:sz w:val="24"/>
                <w:szCs w:val="24"/>
              </w:rPr>
            </w:pPr>
            <w:r w:rsidRPr="005A548A">
              <w:rPr>
                <w:rFonts w:ascii="Cambria" w:eastAsia="Times New Roman" w:hAnsi="Cambria" w:cs="Times New Roman"/>
                <w:sz w:val="24"/>
                <w:szCs w:val="24"/>
              </w:rPr>
              <w:t>Above 15,00,000</w:t>
            </w:r>
            <w:r w:rsidRPr="005A548A">
              <w:rPr>
                <w:rFonts w:ascii="Cambria" w:eastAsia="Times New Roman" w:hAnsi="Cambria" w:cs="Times New Roman"/>
                <w:sz w:val="24"/>
                <w:szCs w:val="24"/>
              </w:rPr>
              <w:br/>
            </w:r>
          </w:p>
        </w:tc>
        <w:tc>
          <w:tcPr>
            <w:tcW w:w="46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A548A" w:rsidRPr="005A548A" w:rsidRDefault="005A548A" w:rsidP="005A548A">
            <w:pPr>
              <w:spacing w:after="0" w:line="240" w:lineRule="auto"/>
              <w:rPr>
                <w:rFonts w:ascii="Cambria" w:eastAsia="Times New Roman" w:hAnsi="Cambria" w:cs="Times New Roman"/>
                <w:sz w:val="24"/>
                <w:szCs w:val="24"/>
              </w:rPr>
            </w:pPr>
            <w:r w:rsidRPr="005A548A">
              <w:rPr>
                <w:rFonts w:ascii="Cambria" w:eastAsia="Times New Roman" w:hAnsi="Cambria" w:cs="Times New Roman"/>
                <w:sz w:val="24"/>
                <w:szCs w:val="24"/>
              </w:rPr>
              <w:t>30</w:t>
            </w:r>
          </w:p>
        </w:tc>
      </w:tr>
    </w:tbl>
    <w:p w:rsidR="00000000" w:rsidRPr="005A548A" w:rsidRDefault="00F97260">
      <w:pPr>
        <w:rPr>
          <w:rFonts w:ascii="Cambria" w:hAnsi="Cambria"/>
          <w:sz w:val="24"/>
          <w:szCs w:val="24"/>
        </w:rPr>
      </w:pPr>
    </w:p>
    <w:p w:rsidR="005A548A" w:rsidRPr="005A548A" w:rsidRDefault="005A548A">
      <w:pPr>
        <w:rPr>
          <w:rFonts w:ascii="Cambria" w:hAnsi="Cambria" w:cs="Arial"/>
          <w:color w:val="000000"/>
          <w:sz w:val="24"/>
          <w:szCs w:val="24"/>
          <w:shd w:val="clear" w:color="auto" w:fill="FFFFFF"/>
        </w:rPr>
      </w:pPr>
      <w:r w:rsidRPr="005A548A">
        <w:rPr>
          <w:rFonts w:ascii="Cambria" w:hAnsi="Cambria" w:cs="Arial"/>
          <w:color w:val="000000"/>
          <w:sz w:val="24"/>
          <w:szCs w:val="24"/>
          <w:shd w:val="clear" w:color="auto" w:fill="FFFFFF"/>
        </w:rPr>
        <w:t>The changes in the income tax slabs under the new tax regime have made it more attractive as compared to the old tax regime. The changes will be beneficial for those who are unable to make tax-saving investments and expenditures in the old tax regime</w:t>
      </w:r>
    </w:p>
    <w:p w:rsidR="005A548A" w:rsidRDefault="005A548A" w:rsidP="005A548A">
      <w:pPr>
        <w:pStyle w:val="ListParagraph"/>
        <w:numPr>
          <w:ilvl w:val="0"/>
          <w:numId w:val="1"/>
        </w:numPr>
        <w:rPr>
          <w:rFonts w:ascii="Cambria" w:eastAsia="Times New Roman" w:hAnsi="Cambria" w:cs="Arial"/>
          <w:color w:val="000000"/>
          <w:sz w:val="24"/>
          <w:szCs w:val="24"/>
          <w:shd w:val="clear" w:color="auto" w:fill="FFFFFF"/>
        </w:rPr>
      </w:pPr>
      <w:r w:rsidRPr="005A548A">
        <w:rPr>
          <w:rFonts w:ascii="Cambria" w:eastAsia="Times New Roman" w:hAnsi="Cambria" w:cs="Arial"/>
          <w:b/>
          <w:bCs/>
          <w:color w:val="000000"/>
          <w:sz w:val="24"/>
          <w:szCs w:val="24"/>
        </w:rPr>
        <w:t xml:space="preserve"> Hike in basic exemption limit under new tax regime:</w:t>
      </w:r>
      <w:r w:rsidRPr="005A548A">
        <w:rPr>
          <w:rFonts w:ascii="Cambria" w:eastAsia="Times New Roman" w:hAnsi="Cambria" w:cs="Arial"/>
          <w:color w:val="000000"/>
          <w:sz w:val="24"/>
          <w:szCs w:val="24"/>
          <w:shd w:val="clear" w:color="auto" w:fill="FFFFFF"/>
        </w:rPr>
        <w:t> Along with changes in the income tax slabs the basic exemption limit under the new tax regime was hiked to Rs 3 lakh from Rs 2.5 lakh earlier - an increase of Rs 50,000.</w:t>
      </w:r>
      <w:r w:rsidRPr="005A548A">
        <w:rPr>
          <w:rFonts w:ascii="Cambria" w:eastAsia="Times New Roman" w:hAnsi="Cambria" w:cs="Arial"/>
          <w:color w:val="000000"/>
          <w:sz w:val="24"/>
          <w:szCs w:val="24"/>
        </w:rPr>
        <w:br/>
      </w:r>
      <w:r w:rsidRPr="005A548A">
        <w:rPr>
          <w:rFonts w:ascii="Cambria" w:eastAsia="Times New Roman" w:hAnsi="Cambria" w:cs="Arial"/>
          <w:color w:val="000000"/>
          <w:sz w:val="24"/>
          <w:szCs w:val="24"/>
        </w:rPr>
        <w:br/>
      </w:r>
      <w:r w:rsidRPr="005A548A">
        <w:rPr>
          <w:rFonts w:ascii="Cambria" w:eastAsia="Times New Roman" w:hAnsi="Cambria" w:cs="Arial"/>
          <w:b/>
          <w:bCs/>
          <w:color w:val="000000"/>
          <w:sz w:val="24"/>
          <w:szCs w:val="24"/>
        </w:rPr>
        <w:t>Impact:</w:t>
      </w:r>
      <w:r w:rsidRPr="005A548A">
        <w:rPr>
          <w:rFonts w:ascii="Cambria" w:eastAsia="Times New Roman" w:hAnsi="Cambria" w:cs="Arial"/>
          <w:color w:val="000000"/>
          <w:sz w:val="24"/>
          <w:szCs w:val="24"/>
          <w:shd w:val="clear" w:color="auto" w:fill="FFFFFF"/>
        </w:rPr>
        <w:t> If you opt for the new tax regime for FY2023-24 income tax return filing will not be mandatory if your gross taxable income does not exceed Rs 3 lakh in a financial year. A hike in basic exemption limit will also help in saving up to Rs 15,000 (30% of Rs 50,000) for those who are planning to opt for the new tax regime in FY 2023-24 (AY 2024-25) and at the time of filing ITR. As against this, the basic exemption limit in the old tax regime remains Rs 2.5 lakh.</w:t>
      </w:r>
    </w:p>
    <w:p w:rsidR="005A548A" w:rsidRPr="005A548A" w:rsidRDefault="005A548A" w:rsidP="005A548A">
      <w:pPr>
        <w:pStyle w:val="ListParagraph"/>
        <w:rPr>
          <w:rFonts w:ascii="Cambria" w:eastAsia="Times New Roman" w:hAnsi="Cambria" w:cs="Arial"/>
          <w:color w:val="000000"/>
          <w:sz w:val="24"/>
          <w:szCs w:val="24"/>
          <w:shd w:val="clear" w:color="auto" w:fill="FFFFFF"/>
        </w:rPr>
      </w:pPr>
    </w:p>
    <w:p w:rsidR="005A548A" w:rsidRPr="005A548A" w:rsidRDefault="005A548A" w:rsidP="005A548A">
      <w:pPr>
        <w:pStyle w:val="ListParagraph"/>
        <w:numPr>
          <w:ilvl w:val="0"/>
          <w:numId w:val="1"/>
        </w:numPr>
        <w:rPr>
          <w:rFonts w:ascii="Cambria" w:eastAsia="Times New Roman" w:hAnsi="Cambria" w:cs="Times New Roman"/>
          <w:sz w:val="24"/>
          <w:szCs w:val="24"/>
        </w:rPr>
      </w:pPr>
      <w:r w:rsidRPr="005A548A">
        <w:rPr>
          <w:rFonts w:ascii="Cambria" w:eastAsia="Times New Roman" w:hAnsi="Cambria" w:cs="Arial"/>
          <w:b/>
          <w:bCs/>
          <w:color w:val="000000"/>
          <w:sz w:val="24"/>
          <w:szCs w:val="24"/>
        </w:rPr>
        <w:t>Income tax rebate hiked in new tax regime:</w:t>
      </w:r>
      <w:r w:rsidRPr="005A548A">
        <w:rPr>
          <w:rFonts w:ascii="Cambria" w:eastAsia="Times New Roman" w:hAnsi="Cambria" w:cs="Arial"/>
          <w:color w:val="000000"/>
          <w:sz w:val="24"/>
          <w:szCs w:val="24"/>
          <w:shd w:val="clear" w:color="auto" w:fill="FFFFFF"/>
        </w:rPr>
        <w:t> Another change in the new tax   regime is the hike in rebate amount under section 87A. The rebate amount has been hiked by Rs 12,500, i.e. from Rs 12,500 earlier to Rs 25,000 in new tax regime. This means that an individual opting for the new tax regime and having taxable income of Rs 7 lakh will be eligible for rebate under section 87A.</w:t>
      </w:r>
    </w:p>
    <w:p w:rsidR="005A548A" w:rsidRPr="005A548A" w:rsidRDefault="005A548A" w:rsidP="005A548A">
      <w:pPr>
        <w:pStyle w:val="ListParagraph"/>
        <w:rPr>
          <w:rFonts w:ascii="Cambria" w:eastAsia="Times New Roman" w:hAnsi="Cambria" w:cs="Times New Roman"/>
          <w:sz w:val="24"/>
          <w:szCs w:val="24"/>
        </w:rPr>
      </w:pPr>
    </w:p>
    <w:p w:rsidR="005A548A" w:rsidRPr="005A548A" w:rsidRDefault="005A548A" w:rsidP="005A548A">
      <w:pPr>
        <w:pStyle w:val="ListParagraph"/>
        <w:rPr>
          <w:rFonts w:ascii="Cambria" w:eastAsia="Times New Roman" w:hAnsi="Cambria" w:cs="Times New Roman"/>
          <w:sz w:val="24"/>
          <w:szCs w:val="24"/>
        </w:rPr>
      </w:pPr>
    </w:p>
    <w:p w:rsidR="005A548A" w:rsidRPr="005A548A" w:rsidRDefault="005A548A" w:rsidP="005A548A">
      <w:pPr>
        <w:pStyle w:val="ListParagraph"/>
        <w:rPr>
          <w:rFonts w:ascii="Cambria" w:eastAsia="Times New Roman" w:hAnsi="Cambria" w:cs="Arial"/>
          <w:color w:val="000000"/>
          <w:sz w:val="24"/>
          <w:szCs w:val="24"/>
        </w:rPr>
      </w:pPr>
    </w:p>
    <w:p w:rsidR="005A548A" w:rsidRPr="005A548A" w:rsidRDefault="005A548A" w:rsidP="005A548A">
      <w:pPr>
        <w:pStyle w:val="ListParagraph"/>
        <w:numPr>
          <w:ilvl w:val="0"/>
          <w:numId w:val="1"/>
        </w:numPr>
        <w:rPr>
          <w:rFonts w:ascii="Times New Roman" w:eastAsia="Times New Roman" w:hAnsi="Times New Roman" w:cs="Times New Roman"/>
          <w:sz w:val="24"/>
          <w:szCs w:val="24"/>
        </w:rPr>
      </w:pPr>
      <w:r w:rsidRPr="005A548A">
        <w:rPr>
          <w:rFonts w:ascii="Cambria" w:eastAsia="Times New Roman" w:hAnsi="Cambria" w:cs="Arial"/>
          <w:b/>
          <w:color w:val="000000"/>
          <w:sz w:val="24"/>
          <w:szCs w:val="24"/>
        </w:rPr>
        <w:lastRenderedPageBreak/>
        <w:t>Standard Deduction</w:t>
      </w:r>
      <w:r w:rsidRPr="005A548A">
        <w:rPr>
          <w:rFonts w:ascii="Cambria" w:eastAsia="Times New Roman" w:hAnsi="Cambria" w:cs="Arial"/>
          <w:color w:val="000000"/>
          <w:sz w:val="24"/>
          <w:szCs w:val="24"/>
        </w:rPr>
        <w:t>:</w:t>
      </w:r>
      <w:r w:rsidRPr="005A548A">
        <w:rPr>
          <w:rFonts w:ascii="Arial" w:hAnsi="Arial" w:cs="Arial"/>
          <w:color w:val="000000"/>
          <w:sz w:val="13"/>
          <w:szCs w:val="13"/>
          <w:shd w:val="clear" w:color="auto" w:fill="FFFFFF"/>
        </w:rPr>
        <w:t xml:space="preserve"> </w:t>
      </w:r>
      <w:r w:rsidRPr="005A548A">
        <w:rPr>
          <w:rFonts w:ascii="Cambria" w:eastAsia="Times New Roman" w:hAnsi="Cambria" w:cs="Arial"/>
          <w:color w:val="000000"/>
          <w:sz w:val="24"/>
          <w:szCs w:val="24"/>
          <w:shd w:val="clear" w:color="auto" w:fill="FFFFFF"/>
        </w:rPr>
        <w:t>If you are opting for the new tax regime, then standard deduction of Rs 50,000 will be available from FY 2023-24 (AY 2024-25). This standard deduction of Rs 50,000 is available on salary and/or pension income. Earlier this deduction was available only if individual opted for the old tax regime.</w:t>
      </w:r>
      <w:r w:rsidRPr="005A548A">
        <w:rPr>
          <w:rFonts w:ascii="Cambria" w:eastAsia="Times New Roman" w:hAnsi="Cambria" w:cs="Arial"/>
          <w:color w:val="000000"/>
          <w:sz w:val="24"/>
          <w:szCs w:val="24"/>
        </w:rPr>
        <w:br/>
      </w:r>
    </w:p>
    <w:p w:rsidR="005A548A" w:rsidRPr="005A548A" w:rsidRDefault="005A548A" w:rsidP="005A548A">
      <w:pPr>
        <w:pStyle w:val="ListParagraph"/>
        <w:numPr>
          <w:ilvl w:val="0"/>
          <w:numId w:val="1"/>
        </w:numPr>
        <w:spacing w:after="0" w:line="240" w:lineRule="auto"/>
        <w:rPr>
          <w:rFonts w:ascii="Cambria" w:eastAsia="Times New Roman" w:hAnsi="Cambria" w:cs="Times New Roman"/>
          <w:sz w:val="24"/>
          <w:szCs w:val="24"/>
        </w:rPr>
      </w:pPr>
      <w:r w:rsidRPr="005A548A">
        <w:rPr>
          <w:rFonts w:ascii="Cambria" w:eastAsia="Times New Roman" w:hAnsi="Cambria" w:cs="Arial"/>
          <w:b/>
          <w:color w:val="000000"/>
          <w:sz w:val="24"/>
          <w:szCs w:val="24"/>
          <w:shd w:val="clear" w:color="auto" w:fill="FFFFFF"/>
        </w:rPr>
        <w:t>Sec 80 CCD</w:t>
      </w:r>
      <w:r>
        <w:rPr>
          <w:rFonts w:ascii="Cambria" w:eastAsia="Times New Roman" w:hAnsi="Cambria" w:cs="Arial"/>
          <w:color w:val="000000"/>
          <w:sz w:val="24"/>
          <w:szCs w:val="24"/>
          <w:shd w:val="clear" w:color="auto" w:fill="FFFFFF"/>
        </w:rPr>
        <w:t xml:space="preserve"> </w:t>
      </w:r>
      <w:r w:rsidRPr="005A548A">
        <w:rPr>
          <w:rFonts w:ascii="Cambria" w:eastAsia="Times New Roman" w:hAnsi="Cambria" w:cs="Arial"/>
          <w:color w:val="000000"/>
          <w:sz w:val="24"/>
          <w:szCs w:val="24"/>
          <w:shd w:val="clear" w:color="auto" w:fill="FFFFFF"/>
        </w:rPr>
        <w:t>:</w:t>
      </w:r>
      <w:r>
        <w:rPr>
          <w:rFonts w:ascii="Cambria" w:eastAsia="Times New Roman" w:hAnsi="Cambria" w:cs="Arial"/>
          <w:color w:val="000000"/>
          <w:sz w:val="24"/>
          <w:szCs w:val="24"/>
          <w:shd w:val="clear" w:color="auto" w:fill="FFFFFF"/>
        </w:rPr>
        <w:t xml:space="preserve"> </w:t>
      </w:r>
      <w:r w:rsidRPr="005A548A">
        <w:rPr>
          <w:rFonts w:ascii="Cambria" w:eastAsia="Times New Roman" w:hAnsi="Cambria" w:cs="Arial"/>
          <w:color w:val="000000"/>
          <w:sz w:val="24"/>
          <w:szCs w:val="24"/>
          <w:shd w:val="clear" w:color="auto" w:fill="FFFFFF"/>
        </w:rPr>
        <w:t>deduction under section 80CCD (2) (Employer's contribution to the National Pension System or NPS). With the standard deduction benefit, an individual having taxable income of up to Rs 7.5 lakh will end up paying zero tax. According to the budget 2023 speech, each salaried person with an income of Rs 15.5 lakh or more will thus stand to benefit by Rs 52,500 under new tax regime.</w:t>
      </w:r>
      <w:r w:rsidRPr="005A548A">
        <w:rPr>
          <w:rFonts w:ascii="Cambria" w:eastAsia="Times New Roman" w:hAnsi="Cambria" w:cs="Arial"/>
          <w:color w:val="000000"/>
          <w:sz w:val="24"/>
          <w:szCs w:val="24"/>
        </w:rPr>
        <w:br/>
      </w:r>
    </w:p>
    <w:p w:rsidR="005A548A" w:rsidRPr="008D4906" w:rsidRDefault="005A548A" w:rsidP="008D4906">
      <w:pPr>
        <w:pStyle w:val="ListParagraph"/>
        <w:numPr>
          <w:ilvl w:val="0"/>
          <w:numId w:val="1"/>
        </w:numPr>
        <w:rPr>
          <w:rFonts w:ascii="Times New Roman" w:eastAsia="Times New Roman" w:hAnsi="Times New Roman" w:cs="Times New Roman"/>
          <w:sz w:val="24"/>
          <w:szCs w:val="24"/>
        </w:rPr>
      </w:pPr>
      <w:r w:rsidRPr="008D4906">
        <w:rPr>
          <w:rFonts w:ascii="Cambria" w:eastAsia="Times New Roman" w:hAnsi="Cambria" w:cs="Arial"/>
          <w:b/>
          <w:bCs/>
          <w:color w:val="000000"/>
          <w:sz w:val="24"/>
          <w:szCs w:val="24"/>
        </w:rPr>
        <w:t>No LTCG benefit in debt mutual funds: </w:t>
      </w:r>
      <w:r w:rsidRPr="008D4906">
        <w:rPr>
          <w:rFonts w:ascii="Cambria" w:eastAsia="Times New Roman" w:hAnsi="Cambria" w:cs="Arial"/>
          <w:color w:val="000000"/>
          <w:sz w:val="24"/>
          <w:szCs w:val="24"/>
          <w:shd w:val="clear" w:color="auto" w:fill="FFFFFF"/>
        </w:rPr>
        <w:t>Investments made in debt mutual funds after March 31, 2023 are not eligible for Long Term Capital Gains taxation on withdrawal. This means that capital gains on debt mutual fund units held for 3 years or more would no longer be eligible for taxation as LTCG with indexation.</w:t>
      </w:r>
      <w:r w:rsidRPr="008D4906">
        <w:rPr>
          <w:rFonts w:ascii="Arial" w:hAnsi="Arial" w:cs="Arial"/>
          <w:color w:val="000000"/>
          <w:sz w:val="13"/>
          <w:szCs w:val="13"/>
          <w:shd w:val="clear" w:color="auto" w:fill="FFFFFF"/>
        </w:rPr>
        <w:t xml:space="preserve"> </w:t>
      </w:r>
      <w:r w:rsidRPr="008D4906">
        <w:rPr>
          <w:rFonts w:ascii="Cambria" w:eastAsia="Times New Roman" w:hAnsi="Cambria" w:cs="Arial"/>
          <w:color w:val="000000"/>
          <w:sz w:val="24"/>
          <w:szCs w:val="24"/>
          <w:shd w:val="clear" w:color="auto" w:fill="FFFFFF"/>
        </w:rPr>
        <w:t>For debt mutual fund investments made after March 31, 2023, any capital gains-short or long term-would be taxed the same as interest earned from fixed deposits. This means that income tax rate on these gains will be applicable as per your income slabs. Previously, debt mutual funds had an edge over bank FDs due to the LTCG tax benefit available on capital gains on the former.</w:t>
      </w:r>
      <w:r w:rsidRPr="008D4906">
        <w:rPr>
          <w:rFonts w:ascii="Cambria" w:eastAsia="Times New Roman" w:hAnsi="Cambria" w:cs="Arial"/>
          <w:color w:val="000000"/>
          <w:sz w:val="24"/>
          <w:szCs w:val="24"/>
        </w:rPr>
        <w:br/>
      </w:r>
    </w:p>
    <w:p w:rsidR="008D4906" w:rsidRDefault="008D4906" w:rsidP="008D4906">
      <w:pPr>
        <w:pStyle w:val="ListParagraph"/>
        <w:numPr>
          <w:ilvl w:val="0"/>
          <w:numId w:val="1"/>
        </w:numPr>
        <w:spacing w:after="0" w:line="240" w:lineRule="auto"/>
        <w:rPr>
          <w:rFonts w:ascii="Cambria" w:eastAsia="Times New Roman" w:hAnsi="Cambria" w:cs="Arial"/>
          <w:color w:val="000000"/>
          <w:sz w:val="24"/>
          <w:szCs w:val="24"/>
        </w:rPr>
      </w:pPr>
      <w:r w:rsidRPr="008D4906">
        <w:rPr>
          <w:rFonts w:ascii="Cambria" w:eastAsia="Times New Roman" w:hAnsi="Cambria" w:cs="Arial"/>
          <w:b/>
          <w:bCs/>
          <w:color w:val="000000"/>
          <w:sz w:val="24"/>
          <w:szCs w:val="24"/>
        </w:rPr>
        <w:t>Marginal tax relief for small taxpayers:</w:t>
      </w:r>
      <w:r w:rsidRPr="008D4906">
        <w:rPr>
          <w:rFonts w:ascii="Cambria" w:eastAsia="Times New Roman" w:hAnsi="Cambria" w:cs="Arial"/>
          <w:color w:val="000000"/>
          <w:sz w:val="24"/>
          <w:szCs w:val="24"/>
          <w:shd w:val="clear" w:color="auto" w:fill="FFFFFF"/>
        </w:rPr>
        <w:t> A marginal tax relief has been introduced under the new tax regime for those with taxable income marginally exceeding Rs 7 lakh in a financial year. Earlier this relief was available only for taxpayers having taxable income exceeding Rs 50 lakh. The relief is offered for individuals whose marginal hike in income leads to higher tax outgo.</w:t>
      </w:r>
    </w:p>
    <w:p w:rsidR="008D4906" w:rsidRDefault="008D4906" w:rsidP="008D4906">
      <w:pPr>
        <w:spacing w:after="0" w:line="240" w:lineRule="auto"/>
        <w:rPr>
          <w:rFonts w:ascii="Cambria" w:eastAsia="Times New Roman" w:hAnsi="Cambria" w:cs="Arial"/>
          <w:color w:val="000000"/>
          <w:sz w:val="24"/>
          <w:szCs w:val="24"/>
        </w:rPr>
      </w:pPr>
    </w:p>
    <w:p w:rsidR="008D4906" w:rsidRPr="008D4906" w:rsidRDefault="008D4906" w:rsidP="008D4906">
      <w:pPr>
        <w:pStyle w:val="ListParagraph"/>
        <w:numPr>
          <w:ilvl w:val="0"/>
          <w:numId w:val="1"/>
        </w:numPr>
        <w:rPr>
          <w:rFonts w:ascii="Cambria" w:eastAsia="Times New Roman" w:hAnsi="Cambria" w:cs="Times New Roman"/>
          <w:sz w:val="24"/>
          <w:szCs w:val="24"/>
        </w:rPr>
      </w:pPr>
      <w:r w:rsidRPr="008D4906">
        <w:rPr>
          <w:rFonts w:ascii="Cambria" w:eastAsia="Times New Roman" w:hAnsi="Cambria" w:cs="Arial"/>
          <w:b/>
          <w:bCs/>
          <w:color w:val="000000"/>
          <w:sz w:val="24"/>
          <w:szCs w:val="24"/>
        </w:rPr>
        <w:t>Highest surcharge rate reduced in new tax regime: </w:t>
      </w:r>
      <w:r w:rsidRPr="008D4906">
        <w:rPr>
          <w:rFonts w:ascii="Cambria" w:eastAsia="Times New Roman" w:hAnsi="Cambria" w:cs="Arial"/>
          <w:color w:val="000000"/>
          <w:sz w:val="24"/>
          <w:szCs w:val="24"/>
          <w:shd w:val="clear" w:color="auto" w:fill="FFFFFF"/>
        </w:rPr>
        <w:t>Surcharge on total tax payable is applicable if an individual's taxable income exceeds Rs 50 lakh. The highest surcharge rate of 37% was earlier applicable if total taxable income exceeded Rs 5 crore under new tax regime. If an individual opts for new tax regime for FY2023-24 (AY 2024-25), then highest surcharge rate has been reduced from 37% to 2</w:t>
      </w:r>
      <w:r>
        <w:rPr>
          <w:rFonts w:ascii="Cambria" w:eastAsia="Times New Roman" w:hAnsi="Cambria" w:cs="Arial"/>
          <w:color w:val="000000"/>
          <w:sz w:val="24"/>
          <w:szCs w:val="24"/>
          <w:shd w:val="clear" w:color="auto" w:fill="FFFFFF"/>
        </w:rPr>
        <w:t>5%</w:t>
      </w:r>
      <w:r w:rsidRPr="008D4906">
        <w:rPr>
          <w:rFonts w:ascii="Cambria" w:eastAsia="Times New Roman" w:hAnsi="Cambria" w:cs="Arial"/>
          <w:color w:val="000000"/>
          <w:sz w:val="24"/>
          <w:szCs w:val="24"/>
          <w:shd w:val="clear" w:color="auto" w:fill="FFFFFF"/>
        </w:rPr>
        <w:t>.</w:t>
      </w:r>
      <w:r w:rsidRPr="008D4906">
        <w:rPr>
          <w:rFonts w:ascii="Cambria" w:eastAsia="Times New Roman" w:hAnsi="Cambria" w:cs="Arial"/>
          <w:b/>
          <w:bCs/>
          <w:color w:val="000000"/>
          <w:sz w:val="24"/>
          <w:szCs w:val="24"/>
        </w:rPr>
        <w:t>Impact:</w:t>
      </w:r>
      <w:r w:rsidRPr="008D4906">
        <w:rPr>
          <w:rFonts w:ascii="Cambria" w:eastAsia="Times New Roman" w:hAnsi="Cambria" w:cs="Arial"/>
          <w:color w:val="000000"/>
          <w:sz w:val="24"/>
          <w:szCs w:val="24"/>
          <w:shd w:val="clear" w:color="auto" w:fill="FFFFFF"/>
        </w:rPr>
        <w:t> The change in the surcharge rate will mainly help HNIs especially those earning Rs 5 crore</w:t>
      </w:r>
      <w:r>
        <w:rPr>
          <w:rFonts w:ascii="Cambria" w:eastAsia="Times New Roman" w:hAnsi="Cambria" w:cs="Arial"/>
          <w:color w:val="000000"/>
          <w:sz w:val="24"/>
          <w:szCs w:val="24"/>
          <w:shd w:val="clear" w:color="auto" w:fill="FFFFFF"/>
        </w:rPr>
        <w:t>s</w:t>
      </w:r>
      <w:r w:rsidRPr="008D4906">
        <w:rPr>
          <w:rFonts w:ascii="Cambria" w:eastAsia="Times New Roman" w:hAnsi="Cambria" w:cs="Arial"/>
          <w:color w:val="000000"/>
          <w:sz w:val="24"/>
          <w:szCs w:val="24"/>
          <w:shd w:val="clear" w:color="auto" w:fill="FFFFFF"/>
        </w:rPr>
        <w:t>. This change will reduce the maximum tax rate from 42.744% to 39%.</w:t>
      </w:r>
      <w:r w:rsidRPr="008D4906">
        <w:rPr>
          <w:rFonts w:ascii="Cambria" w:eastAsia="Times New Roman" w:hAnsi="Cambria" w:cs="Arial"/>
          <w:color w:val="000000"/>
          <w:sz w:val="24"/>
          <w:szCs w:val="24"/>
        </w:rPr>
        <w:br/>
      </w:r>
    </w:p>
    <w:p w:rsidR="008D4906" w:rsidRPr="008D4906" w:rsidRDefault="008D4906" w:rsidP="008D4906">
      <w:pPr>
        <w:pStyle w:val="ListParagraph"/>
        <w:numPr>
          <w:ilvl w:val="0"/>
          <w:numId w:val="1"/>
        </w:numPr>
        <w:rPr>
          <w:rFonts w:ascii="Times New Roman" w:eastAsia="Times New Roman" w:hAnsi="Times New Roman" w:cs="Times New Roman"/>
          <w:sz w:val="24"/>
          <w:szCs w:val="24"/>
        </w:rPr>
      </w:pPr>
      <w:r w:rsidRPr="008D4906">
        <w:rPr>
          <w:rFonts w:ascii="Cambria" w:eastAsia="Times New Roman" w:hAnsi="Cambria" w:cs="Arial"/>
          <w:b/>
          <w:bCs/>
          <w:color w:val="000000"/>
          <w:sz w:val="24"/>
          <w:szCs w:val="24"/>
        </w:rPr>
        <w:t>Tax exemption hiked on leave encashment:</w:t>
      </w:r>
      <w:r w:rsidRPr="008D4906">
        <w:rPr>
          <w:rFonts w:ascii="Cambria" w:eastAsia="Times New Roman" w:hAnsi="Cambria" w:cs="Arial"/>
          <w:color w:val="000000"/>
          <w:sz w:val="24"/>
          <w:szCs w:val="24"/>
          <w:shd w:val="clear" w:color="auto" w:fill="FFFFFF"/>
        </w:rPr>
        <w:t> Another major announcement for non-government employees was hike in tax exemption available on leave encashment. The tax exemption limit has been hiked from Rs 3 lakh to Rs 25 lakh.</w:t>
      </w:r>
      <w:r w:rsidRPr="008D4906">
        <w:rPr>
          <w:rFonts w:ascii="Cambria" w:hAnsi="Cambria" w:cs="Arial"/>
          <w:color w:val="000000"/>
          <w:sz w:val="24"/>
          <w:szCs w:val="24"/>
          <w:shd w:val="clear" w:color="auto" w:fill="FFFFFF"/>
        </w:rPr>
        <w:t xml:space="preserve"> </w:t>
      </w:r>
      <w:r w:rsidRPr="008D4906">
        <w:rPr>
          <w:rFonts w:ascii="Cambria" w:eastAsia="Times New Roman" w:hAnsi="Cambria" w:cs="Arial"/>
          <w:color w:val="000000"/>
          <w:sz w:val="24"/>
          <w:szCs w:val="24"/>
          <w:shd w:val="clear" w:color="auto" w:fill="FFFFFF"/>
        </w:rPr>
        <w:t>This tax exemption limit of Rs 25 lakh is applicable for the total of all such amounts received in an individual's lifetime</w:t>
      </w:r>
      <w:r w:rsidRPr="008D4906">
        <w:rPr>
          <w:rFonts w:ascii="Arial" w:eastAsia="Times New Roman" w:hAnsi="Arial" w:cs="Arial"/>
          <w:color w:val="000000"/>
          <w:sz w:val="13"/>
          <w:szCs w:val="13"/>
          <w:shd w:val="clear" w:color="auto" w:fill="FFFFFF"/>
        </w:rPr>
        <w:t>.</w:t>
      </w:r>
    </w:p>
    <w:p w:rsidR="008D4906" w:rsidRPr="008D4906" w:rsidRDefault="008D4906" w:rsidP="008D4906">
      <w:pPr>
        <w:pStyle w:val="ListParagraph"/>
        <w:numPr>
          <w:ilvl w:val="0"/>
          <w:numId w:val="1"/>
        </w:numPr>
        <w:rPr>
          <w:rFonts w:ascii="Times New Roman" w:eastAsia="Times New Roman" w:hAnsi="Times New Roman" w:cs="Times New Roman"/>
          <w:sz w:val="24"/>
          <w:szCs w:val="24"/>
        </w:rPr>
      </w:pPr>
      <w:r w:rsidRPr="008D4906">
        <w:rPr>
          <w:rFonts w:ascii="Cambria" w:eastAsia="Times New Roman" w:hAnsi="Cambria" w:cs="Arial"/>
          <w:b/>
          <w:bCs/>
          <w:color w:val="000000"/>
          <w:sz w:val="24"/>
          <w:szCs w:val="24"/>
        </w:rPr>
        <w:lastRenderedPageBreak/>
        <w:t>Rules for rent free house salary changed:</w:t>
      </w:r>
      <w:r w:rsidRPr="008D4906">
        <w:rPr>
          <w:rFonts w:ascii="Cambria" w:eastAsia="Times New Roman" w:hAnsi="Cambria" w:cs="Arial"/>
          <w:color w:val="000000"/>
          <w:sz w:val="24"/>
          <w:szCs w:val="24"/>
          <w:shd w:val="clear" w:color="auto" w:fill="FFFFFF"/>
        </w:rPr>
        <w:t> The CBDT issued new rules for employees receiving rent-free accommodation from their employers. The new rules came into effect from September 1, 2023.</w:t>
      </w:r>
      <w:r w:rsidRPr="008D4906">
        <w:rPr>
          <w:rFonts w:ascii="Cambria" w:eastAsia="Times New Roman" w:hAnsi="Cambria" w:cs="Arial"/>
          <w:b/>
          <w:bCs/>
          <w:color w:val="000000"/>
          <w:sz w:val="24"/>
          <w:szCs w:val="24"/>
        </w:rPr>
        <w:t>Impact:</w:t>
      </w:r>
      <w:r w:rsidRPr="008D4906">
        <w:rPr>
          <w:rFonts w:ascii="Cambria" w:eastAsia="Times New Roman" w:hAnsi="Cambria" w:cs="Arial"/>
          <w:color w:val="000000"/>
          <w:sz w:val="24"/>
          <w:szCs w:val="24"/>
          <w:shd w:val="clear" w:color="auto" w:fill="FFFFFF"/>
        </w:rPr>
        <w:t> According to tax experts, the new rules are likely to lower the TDS applicable on rent-free accommodation. This will help a salaried individual to get a higher take-home pay. Further, the new rules have introduced inflation-linked cap if the same house is given on rent for more than one year to an employee.</w:t>
      </w:r>
      <w:r w:rsidRPr="008D4906">
        <w:rPr>
          <w:rFonts w:ascii="Arial" w:eastAsia="Times New Roman" w:hAnsi="Arial" w:cs="Arial"/>
          <w:color w:val="000000"/>
          <w:sz w:val="13"/>
          <w:szCs w:val="13"/>
        </w:rPr>
        <w:br/>
      </w:r>
      <w:r w:rsidRPr="008D4906">
        <w:rPr>
          <w:rFonts w:ascii="Arial" w:eastAsia="Times New Roman" w:hAnsi="Arial" w:cs="Arial"/>
          <w:color w:val="000000"/>
          <w:sz w:val="13"/>
          <w:szCs w:val="13"/>
        </w:rPr>
        <w:br/>
      </w:r>
    </w:p>
    <w:p w:rsidR="008D4906" w:rsidRPr="006F0C1B" w:rsidRDefault="008D4906" w:rsidP="006F0C1B">
      <w:pPr>
        <w:pStyle w:val="ListParagraph"/>
        <w:numPr>
          <w:ilvl w:val="0"/>
          <w:numId w:val="1"/>
        </w:numPr>
        <w:rPr>
          <w:rFonts w:ascii="Times New Roman" w:eastAsia="Times New Roman" w:hAnsi="Times New Roman" w:cs="Times New Roman"/>
          <w:sz w:val="24"/>
          <w:szCs w:val="24"/>
        </w:rPr>
      </w:pPr>
      <w:r w:rsidRPr="006F0C1B">
        <w:rPr>
          <w:rFonts w:ascii="Cambria" w:eastAsia="Times New Roman" w:hAnsi="Cambria" w:cs="Arial"/>
          <w:b/>
          <w:bCs/>
          <w:color w:val="000000"/>
          <w:sz w:val="24"/>
          <w:szCs w:val="24"/>
        </w:rPr>
        <w:t>Life insurance maturity money will not be fully tax-exempt:</w:t>
      </w:r>
      <w:r w:rsidRPr="006F0C1B">
        <w:rPr>
          <w:rFonts w:ascii="Cambria" w:eastAsia="Times New Roman" w:hAnsi="Cambria" w:cs="Arial"/>
          <w:color w:val="000000"/>
          <w:sz w:val="24"/>
          <w:szCs w:val="24"/>
          <w:shd w:val="clear" w:color="auto" w:fill="FFFFFF"/>
        </w:rPr>
        <w:t> Budget 2023 announced a limit on the tax-free maturity amount from non-ULIP life insurance policies. As per the announcement, if the total premium paid on all non-ULIP life insurance policies exceed Rs 5 lakh in a financial year, then maturity amount will be taxable.</w:t>
      </w:r>
      <w:r w:rsidRPr="006F0C1B">
        <w:rPr>
          <w:rFonts w:ascii="Arial" w:hAnsi="Arial" w:cs="Arial"/>
          <w:color w:val="000000"/>
          <w:sz w:val="13"/>
          <w:szCs w:val="13"/>
          <w:shd w:val="clear" w:color="auto" w:fill="FFFFFF"/>
        </w:rPr>
        <w:t xml:space="preserve"> </w:t>
      </w:r>
      <w:r w:rsidRPr="006F0C1B">
        <w:rPr>
          <w:rFonts w:ascii="Cambria" w:eastAsia="Times New Roman" w:hAnsi="Cambria" w:cs="Arial"/>
          <w:color w:val="000000"/>
          <w:sz w:val="24"/>
          <w:szCs w:val="24"/>
          <w:shd w:val="clear" w:color="auto" w:fill="FFFFFF"/>
        </w:rPr>
        <w:t>The taxable maturity amount will be calculated only if the life insurance policies meet the specified criteria such as total amount of premium paid for single or multiple non-ULIP insurance policies.</w:t>
      </w:r>
      <w:r w:rsidRPr="006F0C1B">
        <w:rPr>
          <w:rFonts w:ascii="Arial" w:hAnsi="Arial" w:cs="Arial"/>
          <w:color w:val="000000"/>
          <w:sz w:val="13"/>
          <w:szCs w:val="13"/>
          <w:shd w:val="clear" w:color="auto" w:fill="FFFFFF"/>
        </w:rPr>
        <w:t xml:space="preserve"> </w:t>
      </w:r>
      <w:r w:rsidRPr="006F0C1B">
        <w:rPr>
          <w:rFonts w:ascii="Cambria" w:eastAsia="Times New Roman" w:hAnsi="Cambria" w:cs="Arial"/>
          <w:color w:val="000000"/>
          <w:sz w:val="24"/>
          <w:szCs w:val="24"/>
          <w:shd w:val="clear" w:color="auto" w:fill="FFFFFF"/>
        </w:rPr>
        <w:t>Do note that for life insurance policies issued till March 31, 2023, the maturity proceeds will continue to remain tax exempt irrespective of the premium amount paid. Only life insurance policies issued on or after April 1, 2023 will be impacted by these rules.</w:t>
      </w:r>
      <w:r w:rsidRPr="006F0C1B">
        <w:rPr>
          <w:rFonts w:ascii="Times New Roman" w:eastAsia="Times New Roman" w:hAnsi="Times New Roman" w:cs="Times New Roman"/>
          <w:sz w:val="24"/>
          <w:szCs w:val="24"/>
        </w:rPr>
        <w:br/>
      </w:r>
    </w:p>
    <w:p w:rsidR="006F0C1B" w:rsidRPr="006F0C1B" w:rsidRDefault="006F0C1B" w:rsidP="006F0C1B">
      <w:pPr>
        <w:pStyle w:val="ListParagraph"/>
        <w:numPr>
          <w:ilvl w:val="0"/>
          <w:numId w:val="1"/>
        </w:numPr>
        <w:spacing w:after="0" w:line="240" w:lineRule="auto"/>
        <w:rPr>
          <w:rFonts w:ascii="Cambria" w:eastAsia="Times New Roman" w:hAnsi="Cambria" w:cs="Arial"/>
          <w:color w:val="000000"/>
          <w:sz w:val="24"/>
          <w:szCs w:val="24"/>
        </w:rPr>
      </w:pPr>
      <w:r w:rsidRPr="006F0C1B">
        <w:rPr>
          <w:rFonts w:ascii="Cambria" w:eastAsia="Times New Roman" w:hAnsi="Cambria" w:cs="Arial"/>
          <w:b/>
          <w:bCs/>
          <w:color w:val="000000"/>
          <w:sz w:val="24"/>
          <w:szCs w:val="24"/>
        </w:rPr>
        <w:t>Limit on capital gains deductions from property sale to Rs 10 crore:</w:t>
      </w:r>
      <w:r w:rsidRPr="006F0C1B">
        <w:rPr>
          <w:rFonts w:ascii="Cambria" w:eastAsia="Times New Roman" w:hAnsi="Cambria" w:cs="Arial"/>
          <w:color w:val="000000"/>
          <w:sz w:val="24"/>
          <w:szCs w:val="24"/>
          <w:shd w:val="clear" w:color="auto" w:fill="FFFFFF"/>
        </w:rPr>
        <w:t> The government has put a limit of Rs 10 crore on the maximum deduction that can be claimed from capital gains arising from sale of residential property. These deductions are claimed under Section 54 and Section 54F of the Income-tax Act, 1961. Due to this, government has also put up a cap for investment in Capital Gains Account Scheme as well.</w:t>
      </w:r>
      <w:r>
        <w:rPr>
          <w:rFonts w:ascii="Cambria" w:eastAsia="Times New Roman" w:hAnsi="Cambria" w:cs="Arial"/>
          <w:color w:val="000000"/>
          <w:sz w:val="24"/>
          <w:szCs w:val="24"/>
          <w:shd w:val="clear" w:color="auto" w:fill="FFFFFF"/>
        </w:rPr>
        <w:t xml:space="preserve"> Investment in residential properties has been capped at Rs 10 crores.</w:t>
      </w:r>
      <w:r w:rsidRPr="006F0C1B">
        <w:rPr>
          <w:rFonts w:ascii="Cambria" w:eastAsia="Times New Roman" w:hAnsi="Cambria" w:cs="Arial"/>
          <w:color w:val="000000"/>
          <w:sz w:val="24"/>
          <w:szCs w:val="24"/>
        </w:rPr>
        <w:br/>
      </w:r>
    </w:p>
    <w:p w:rsidR="006F0C1B" w:rsidRPr="006F0C1B" w:rsidRDefault="006F0C1B" w:rsidP="006F0C1B">
      <w:pPr>
        <w:pStyle w:val="ListParagraph"/>
        <w:numPr>
          <w:ilvl w:val="0"/>
          <w:numId w:val="1"/>
        </w:numPr>
        <w:spacing w:after="0" w:line="240" w:lineRule="auto"/>
        <w:rPr>
          <w:rFonts w:ascii="Cambria" w:eastAsia="Times New Roman" w:hAnsi="Cambria" w:cs="Times New Roman"/>
          <w:sz w:val="24"/>
          <w:szCs w:val="24"/>
        </w:rPr>
      </w:pPr>
      <w:r w:rsidRPr="006F0C1B">
        <w:rPr>
          <w:rFonts w:ascii="Cambria" w:eastAsia="Times New Roman" w:hAnsi="Cambria" w:cs="Arial"/>
          <w:b/>
          <w:bCs/>
          <w:color w:val="000000"/>
          <w:sz w:val="24"/>
          <w:szCs w:val="24"/>
        </w:rPr>
        <w:t>Discard ITR:</w:t>
      </w:r>
      <w:r w:rsidRPr="006F0C1B">
        <w:rPr>
          <w:rFonts w:ascii="Cambria" w:eastAsia="Times New Roman" w:hAnsi="Cambria" w:cs="Arial"/>
          <w:color w:val="000000"/>
          <w:sz w:val="24"/>
          <w:szCs w:val="24"/>
          <w:shd w:val="clear" w:color="auto" w:fill="FFFFFF"/>
        </w:rPr>
        <w:t> In 2023, the income tax department launched the Discard return option. This feature allows individuals to completely delete their unverified ITR.</w:t>
      </w:r>
      <w:r w:rsidRPr="006F0C1B">
        <w:rPr>
          <w:rFonts w:ascii="Cambria" w:eastAsia="Times New Roman" w:hAnsi="Cambria" w:cs="Arial"/>
          <w:b/>
          <w:bCs/>
          <w:color w:val="000000"/>
          <w:sz w:val="24"/>
          <w:szCs w:val="24"/>
        </w:rPr>
        <w:t>Impact:</w:t>
      </w:r>
      <w:r w:rsidRPr="006F0C1B">
        <w:rPr>
          <w:rFonts w:ascii="Cambria" w:eastAsia="Times New Roman" w:hAnsi="Cambria" w:cs="Arial"/>
          <w:color w:val="000000"/>
          <w:sz w:val="24"/>
          <w:szCs w:val="24"/>
          <w:shd w:val="clear" w:color="auto" w:fill="FFFFFF"/>
        </w:rPr>
        <w:t> This feature will help an individual to delete their previously submitted ITR provided it was not verified. Further, this will help an individual to go through the revised ITR filing process if a mistake is discovered after the ITR is submitted but before it is verified.</w:t>
      </w:r>
      <w:r w:rsidRPr="006F0C1B">
        <w:rPr>
          <w:rFonts w:ascii="Cambria" w:eastAsia="Times New Roman" w:hAnsi="Cambria" w:cs="Arial"/>
          <w:color w:val="000000"/>
          <w:sz w:val="24"/>
          <w:szCs w:val="24"/>
        </w:rPr>
        <w:br/>
      </w:r>
    </w:p>
    <w:p w:rsidR="006F0C1B" w:rsidRPr="006F0C1B" w:rsidRDefault="006F0C1B" w:rsidP="006F0C1B">
      <w:pPr>
        <w:pStyle w:val="ListParagraph"/>
        <w:numPr>
          <w:ilvl w:val="0"/>
          <w:numId w:val="1"/>
        </w:numPr>
        <w:spacing w:after="0" w:line="240" w:lineRule="auto"/>
        <w:rPr>
          <w:rFonts w:ascii="Cambria" w:eastAsia="Times New Roman" w:hAnsi="Cambria" w:cs="Times New Roman"/>
          <w:sz w:val="24"/>
          <w:szCs w:val="24"/>
        </w:rPr>
      </w:pPr>
      <w:r w:rsidRPr="006F0C1B">
        <w:rPr>
          <w:rFonts w:ascii="Cambria" w:eastAsia="Times New Roman" w:hAnsi="Cambria" w:cs="Arial"/>
          <w:b/>
          <w:bCs/>
          <w:color w:val="000000"/>
          <w:sz w:val="24"/>
          <w:szCs w:val="24"/>
        </w:rPr>
        <w:t>TDS on online game winnings: </w:t>
      </w:r>
      <w:r w:rsidRPr="006F0C1B">
        <w:rPr>
          <w:rFonts w:ascii="Cambria" w:eastAsia="Times New Roman" w:hAnsi="Cambria" w:cs="Arial"/>
          <w:color w:val="000000"/>
          <w:sz w:val="24"/>
          <w:szCs w:val="24"/>
          <w:shd w:val="clear" w:color="auto" w:fill="FFFFFF"/>
        </w:rPr>
        <w:t>The government has removed the threshold that was applicable for deduction of tax on winnings from online games. Till March 31, 2023, TDS on winnings from online games was applicable if it exceeded Rs 10,000 in a financial year. However, from April 1, since there will be no threshold, TDS will be applicable for every rupee won.</w:t>
      </w:r>
    </w:p>
    <w:p w:rsidR="006F0C1B" w:rsidRPr="006F0C1B" w:rsidRDefault="006F0C1B" w:rsidP="006F0C1B">
      <w:pPr>
        <w:pStyle w:val="ListParagraph"/>
        <w:spacing w:after="0" w:line="240" w:lineRule="auto"/>
        <w:rPr>
          <w:rFonts w:ascii="Cambria" w:eastAsia="Times New Roman" w:hAnsi="Cambria" w:cs="Times New Roman"/>
          <w:sz w:val="24"/>
          <w:szCs w:val="24"/>
        </w:rPr>
      </w:pPr>
      <w:r w:rsidRPr="006F0C1B">
        <w:rPr>
          <w:rFonts w:ascii="Cambria" w:eastAsia="Times New Roman" w:hAnsi="Cambria" w:cs="Arial"/>
          <w:color w:val="000000"/>
          <w:sz w:val="24"/>
          <w:szCs w:val="24"/>
        </w:rPr>
        <w:br/>
      </w:r>
    </w:p>
    <w:p w:rsidR="006F0C1B" w:rsidRPr="006F0C1B" w:rsidRDefault="006F0C1B" w:rsidP="006F0C1B">
      <w:pPr>
        <w:pStyle w:val="ListParagraph"/>
        <w:numPr>
          <w:ilvl w:val="0"/>
          <w:numId w:val="1"/>
        </w:numPr>
        <w:spacing w:after="0" w:line="240" w:lineRule="auto"/>
        <w:rPr>
          <w:rFonts w:ascii="Cambria" w:eastAsia="Times New Roman" w:hAnsi="Cambria" w:cs="Times New Roman"/>
          <w:sz w:val="24"/>
          <w:szCs w:val="24"/>
        </w:rPr>
      </w:pPr>
      <w:r w:rsidRPr="006F0C1B">
        <w:rPr>
          <w:rFonts w:ascii="Cambria" w:eastAsia="Times New Roman" w:hAnsi="Cambria" w:cs="Arial"/>
          <w:b/>
          <w:bCs/>
          <w:color w:val="000000"/>
          <w:sz w:val="24"/>
          <w:szCs w:val="24"/>
        </w:rPr>
        <w:lastRenderedPageBreak/>
        <w:t>Relief on higher TDS for non-ITR filers:</w:t>
      </w:r>
      <w:r w:rsidRPr="006F0C1B">
        <w:rPr>
          <w:rFonts w:ascii="Cambria" w:eastAsia="Times New Roman" w:hAnsi="Cambria" w:cs="Arial"/>
          <w:color w:val="000000"/>
          <w:sz w:val="24"/>
          <w:szCs w:val="24"/>
          <w:shd w:val="clear" w:color="auto" w:fill="FFFFFF"/>
        </w:rPr>
        <w:t> A relief on higher TDS was announced in Budget 2023 for those who are not mandatorily required to file ITR. The definition of 'Specified persons' was amended to exclude the individuals who are not mandatorily required to file ITR in a financial year.</w:t>
      </w:r>
      <w:r>
        <w:rPr>
          <w:rFonts w:ascii="Cambria" w:eastAsia="Times New Roman" w:hAnsi="Cambria" w:cs="Arial"/>
          <w:color w:val="000000"/>
          <w:sz w:val="24"/>
          <w:szCs w:val="24"/>
          <w:shd w:val="clear" w:color="auto" w:fill="FFFFFF"/>
        </w:rPr>
        <w:t xml:space="preserve"> </w:t>
      </w:r>
      <w:r w:rsidRPr="006F0C1B">
        <w:rPr>
          <w:rFonts w:ascii="Cambria" w:eastAsia="Times New Roman" w:hAnsi="Cambria" w:cs="Arial"/>
          <w:color w:val="000000"/>
          <w:sz w:val="24"/>
          <w:szCs w:val="24"/>
          <w:shd w:val="clear" w:color="auto" w:fill="FFFFFF"/>
        </w:rPr>
        <w:t>Impact: This a big relief for those individuals who were mandatorily not required to file ITR but were subject to higher TDS on their income due to non-filing. A higher TDS was applic</w:t>
      </w:r>
      <w:r>
        <w:rPr>
          <w:rFonts w:ascii="Cambria" w:eastAsia="Times New Roman" w:hAnsi="Cambria" w:cs="Arial"/>
          <w:color w:val="000000"/>
          <w:sz w:val="24"/>
          <w:szCs w:val="24"/>
          <w:shd w:val="clear" w:color="auto" w:fill="FFFFFF"/>
        </w:rPr>
        <w:t>able.</w:t>
      </w:r>
      <w:r w:rsidRPr="006F0C1B">
        <w:rPr>
          <w:rFonts w:ascii="Cambria" w:eastAsia="Times New Roman" w:hAnsi="Cambria" w:cs="Arial"/>
          <w:color w:val="000000"/>
          <w:sz w:val="24"/>
          <w:szCs w:val="24"/>
        </w:rPr>
        <w:br/>
      </w:r>
    </w:p>
    <w:p w:rsidR="006F0C1B" w:rsidRPr="006F0C1B" w:rsidRDefault="006F0C1B" w:rsidP="006F0C1B">
      <w:pPr>
        <w:pStyle w:val="ListParagraph"/>
        <w:numPr>
          <w:ilvl w:val="0"/>
          <w:numId w:val="1"/>
        </w:numPr>
        <w:shd w:val="clear" w:color="auto" w:fill="FFFFFF"/>
        <w:spacing w:after="0" w:line="240" w:lineRule="auto"/>
        <w:textAlignment w:val="baseline"/>
        <w:outlineLvl w:val="1"/>
        <w:rPr>
          <w:rFonts w:ascii="Cambria" w:eastAsia="Times New Roman" w:hAnsi="Cambria" w:cs="Times New Roman"/>
          <w:sz w:val="24"/>
          <w:szCs w:val="24"/>
        </w:rPr>
      </w:pPr>
      <w:r w:rsidRPr="006F0C1B">
        <w:rPr>
          <w:rFonts w:ascii="Cambria" w:eastAsia="Times New Roman" w:hAnsi="Cambria" w:cs="Arial"/>
          <w:b/>
          <w:bCs/>
          <w:color w:val="000000"/>
        </w:rPr>
        <w:t xml:space="preserve">Launch of new limited period scheme: </w:t>
      </w:r>
      <w:r w:rsidRPr="006F0C1B">
        <w:rPr>
          <w:rFonts w:ascii="Cambria" w:eastAsia="Times New Roman" w:hAnsi="Cambria" w:cs="Arial"/>
          <w:color w:val="000000"/>
          <w:shd w:val="clear" w:color="auto" w:fill="FFFFFF"/>
        </w:rPr>
        <w:t>The Mahila Samman Savings Certificate was introduced in Budget 2023 for female investors. This is a one-time small savings scheme that will be offered for two years. The maximum deposit amount for the Mahila Samman Savings Certificate is Rs 2 lakh. The scheme has a two-year term i.e., up to March 2025 and a 7.5 percent annual interest rate, with the option of partial withdrawal.</w:t>
      </w:r>
    </w:p>
    <w:p w:rsidR="006F0C1B" w:rsidRDefault="006F0C1B" w:rsidP="006F0C1B">
      <w:pPr>
        <w:shd w:val="clear" w:color="auto" w:fill="FFFFFF"/>
        <w:spacing w:after="0" w:line="240" w:lineRule="auto"/>
        <w:textAlignment w:val="baseline"/>
        <w:outlineLvl w:val="1"/>
        <w:rPr>
          <w:rFonts w:ascii="Cambria" w:eastAsia="Times New Roman" w:hAnsi="Cambria" w:cs="Arial"/>
          <w:color w:val="000000"/>
          <w:sz w:val="24"/>
          <w:szCs w:val="24"/>
        </w:rPr>
      </w:pPr>
    </w:p>
    <w:p w:rsidR="006F0C1B" w:rsidRPr="006F0C1B" w:rsidRDefault="006F0C1B" w:rsidP="006F0C1B">
      <w:pPr>
        <w:pStyle w:val="ListParagraph"/>
        <w:numPr>
          <w:ilvl w:val="0"/>
          <w:numId w:val="1"/>
        </w:numPr>
        <w:spacing w:after="0" w:line="240" w:lineRule="auto"/>
        <w:textAlignment w:val="baseline"/>
        <w:outlineLvl w:val="1"/>
        <w:rPr>
          <w:rFonts w:ascii="Cambria" w:eastAsia="Times New Roman" w:hAnsi="Cambria" w:cs="Times New Roman"/>
          <w:sz w:val="24"/>
          <w:szCs w:val="24"/>
        </w:rPr>
      </w:pPr>
      <w:r w:rsidRPr="006F0C1B">
        <w:rPr>
          <w:rFonts w:ascii="Cambria" w:eastAsia="Times New Roman" w:hAnsi="Cambria" w:cs="Arial"/>
          <w:b/>
          <w:bCs/>
          <w:color w:val="000000"/>
          <w:sz w:val="24"/>
          <w:szCs w:val="24"/>
        </w:rPr>
        <w:t>Post Office Monthly Income Scheme limit increased:</w:t>
      </w:r>
      <w:r w:rsidRPr="006F0C1B">
        <w:rPr>
          <w:rFonts w:ascii="Cambria" w:eastAsia="Times New Roman" w:hAnsi="Cambria" w:cs="Arial"/>
          <w:color w:val="000000"/>
          <w:sz w:val="24"/>
          <w:szCs w:val="24"/>
          <w:shd w:val="clear" w:color="auto" w:fill="FFFFFF"/>
        </w:rPr>
        <w:t>The limit for single account users under the Post Office Monthly Income Scheme (POMIS) has increased from Rs 4 lakh to Rs 9 lakh and the maximum for joint holding has been raised from Rs 9 lakh to Rs 15 lakh, was made Budget 2023 announcement.</w:t>
      </w:r>
      <w:r w:rsidRPr="006F0C1B">
        <w:rPr>
          <w:rFonts w:ascii="Cambria" w:eastAsia="Times New Roman" w:hAnsi="Cambria" w:cs="Arial"/>
          <w:color w:val="000000"/>
          <w:sz w:val="24"/>
          <w:szCs w:val="24"/>
        </w:rPr>
        <w:br/>
      </w:r>
      <w:r w:rsidRPr="006F0C1B">
        <w:rPr>
          <w:rFonts w:ascii="Cambria" w:eastAsia="Times New Roman" w:hAnsi="Cambria" w:cs="Arial"/>
          <w:color w:val="000000"/>
          <w:sz w:val="24"/>
          <w:szCs w:val="24"/>
        </w:rPr>
        <w:br/>
      </w:r>
    </w:p>
    <w:p w:rsidR="006F0C1B" w:rsidRPr="006F0C1B" w:rsidRDefault="006F0C1B" w:rsidP="006F0C1B">
      <w:pPr>
        <w:pStyle w:val="ListParagraph"/>
        <w:numPr>
          <w:ilvl w:val="0"/>
          <w:numId w:val="1"/>
        </w:numPr>
        <w:spacing w:after="0" w:line="240" w:lineRule="auto"/>
        <w:textAlignment w:val="baseline"/>
        <w:outlineLvl w:val="1"/>
        <w:rPr>
          <w:rFonts w:ascii="Cambria" w:eastAsia="Times New Roman" w:hAnsi="Cambria" w:cs="Times New Roman"/>
          <w:sz w:val="24"/>
          <w:szCs w:val="24"/>
        </w:rPr>
      </w:pPr>
      <w:r w:rsidRPr="006F0C1B">
        <w:rPr>
          <w:rFonts w:ascii="Cambria" w:eastAsia="Times New Roman" w:hAnsi="Cambria" w:cs="Arial"/>
          <w:b/>
          <w:bCs/>
          <w:color w:val="000000"/>
          <w:sz w:val="24"/>
          <w:szCs w:val="24"/>
        </w:rPr>
        <w:t>Senior Citizen Savings Scheme (SCSS):</w:t>
      </w:r>
      <w:r w:rsidRPr="006F0C1B">
        <w:rPr>
          <w:rFonts w:ascii="Cambria" w:eastAsia="Times New Roman" w:hAnsi="Cambria" w:cs="Arial"/>
          <w:color w:val="000000"/>
          <w:sz w:val="24"/>
          <w:szCs w:val="24"/>
          <w:shd w:val="clear" w:color="auto" w:fill="FFFFFF"/>
        </w:rPr>
        <w:t>The maximum amount that may be invested in the senior citizen savings plan (SCSS) has been increased by the FM from Rs 15 lakh to Rs 30 lakh. This was announced during the budget 2023. As a result, senior people will be eligible for a greater interest rate on their savings and be able to make larger deposits into their SCSS accounts.</w:t>
      </w:r>
      <w:r w:rsidRPr="006F0C1B">
        <w:rPr>
          <w:rFonts w:ascii="Cambria" w:eastAsia="Times New Roman" w:hAnsi="Cambria" w:cs="Arial"/>
          <w:color w:val="000000"/>
          <w:sz w:val="24"/>
          <w:szCs w:val="24"/>
        </w:rPr>
        <w:br/>
      </w:r>
    </w:p>
    <w:p w:rsidR="00426D7B" w:rsidRPr="00426D7B" w:rsidRDefault="006F0C1B" w:rsidP="00426D7B">
      <w:pPr>
        <w:pStyle w:val="ListParagraph"/>
        <w:numPr>
          <w:ilvl w:val="0"/>
          <w:numId w:val="1"/>
        </w:numPr>
        <w:rPr>
          <w:rFonts w:ascii="Times New Roman" w:eastAsia="Times New Roman" w:hAnsi="Times New Roman" w:cs="Times New Roman"/>
          <w:sz w:val="24"/>
          <w:szCs w:val="24"/>
        </w:rPr>
      </w:pPr>
      <w:r w:rsidRPr="00426D7B">
        <w:rPr>
          <w:rFonts w:ascii="Cambria" w:eastAsia="Times New Roman" w:hAnsi="Cambria" w:cs="Arial"/>
          <w:color w:val="000000"/>
          <w:sz w:val="24"/>
          <w:szCs w:val="24"/>
          <w:shd w:val="clear" w:color="auto" w:fill="FFFFFF"/>
        </w:rPr>
        <w:t>PPF premature interest calculation changed:</w:t>
      </w:r>
      <w:r w:rsidR="00426D7B">
        <w:rPr>
          <w:rFonts w:ascii="Cambria" w:eastAsia="Times New Roman" w:hAnsi="Cambria" w:cs="Arial"/>
          <w:color w:val="000000"/>
          <w:sz w:val="24"/>
          <w:szCs w:val="24"/>
          <w:shd w:val="clear" w:color="auto" w:fill="FFFFFF"/>
        </w:rPr>
        <w:t xml:space="preserve"> </w:t>
      </w:r>
      <w:r w:rsidRPr="00426D7B">
        <w:rPr>
          <w:rFonts w:ascii="Cambria" w:eastAsia="Times New Roman" w:hAnsi="Cambria" w:cs="Arial"/>
          <w:color w:val="000000"/>
          <w:sz w:val="24"/>
          <w:szCs w:val="24"/>
          <w:shd w:val="clear" w:color="auto" w:fill="FFFFFF"/>
        </w:rPr>
        <w:t>Earlier rule; "Provided further that on such premature closure, interest in the account shall be allowed at a rate which shall be lower by 1% than the rate at which interest has been credited in the account from time to time since the date of opening of the account, or the date of extension of the account, as the case may be".What has changed: In the Public Provident Fund Scheme, 2019, in paragraph 13, in the second proviso, for the words</w:t>
      </w:r>
      <w:r w:rsidR="00426D7B" w:rsidRPr="00426D7B">
        <w:rPr>
          <w:rFonts w:ascii="Cambria" w:eastAsia="Times New Roman" w:hAnsi="Cambria" w:cs="Arial"/>
          <w:color w:val="000000"/>
          <w:sz w:val="24"/>
          <w:szCs w:val="24"/>
          <w:shd w:val="clear" w:color="auto" w:fill="FFFFFF"/>
        </w:rPr>
        <w:t>.</w:t>
      </w:r>
      <w:r w:rsidRPr="00426D7B">
        <w:rPr>
          <w:rFonts w:ascii="Cambria" w:eastAsia="Times New Roman" w:hAnsi="Cambria" w:cs="Arial"/>
          <w:color w:val="000000"/>
          <w:sz w:val="24"/>
          <w:szCs w:val="24"/>
          <w:shd w:val="clear" w:color="auto" w:fill="FFFFFF"/>
        </w:rPr>
        <w:t xml:space="preserve"> </w:t>
      </w:r>
      <w:r w:rsidR="00426D7B" w:rsidRPr="00426D7B">
        <w:rPr>
          <w:rFonts w:ascii="Cambria" w:eastAsia="Times New Roman" w:hAnsi="Cambria" w:cs="Arial"/>
          <w:color w:val="000000"/>
          <w:sz w:val="24"/>
          <w:szCs w:val="24"/>
          <w:shd w:val="clear" w:color="auto" w:fill="FFFFFF"/>
        </w:rPr>
        <w:t>"or from the date of commencement of the current block period of five years" shall be substituted, as per the Department of Post notificationThis implies that interest will be permitted in the account at a rate that is 1% lower than the interest that has been credited to the account on a regular basis since the start of the current block period of five years</w:t>
      </w:r>
      <w:r w:rsidR="00426D7B" w:rsidRPr="00426D7B">
        <w:rPr>
          <w:rFonts w:ascii="Arial" w:eastAsia="Times New Roman" w:hAnsi="Arial" w:cs="Arial"/>
          <w:color w:val="000000"/>
          <w:sz w:val="13"/>
          <w:szCs w:val="13"/>
          <w:shd w:val="clear" w:color="auto" w:fill="FFFFFF"/>
        </w:rPr>
        <w:t>.</w:t>
      </w:r>
      <w:r w:rsidR="00426D7B" w:rsidRPr="00426D7B">
        <w:rPr>
          <w:rFonts w:ascii="Arial" w:eastAsia="Times New Roman" w:hAnsi="Arial" w:cs="Arial"/>
          <w:color w:val="000000"/>
          <w:sz w:val="13"/>
          <w:szCs w:val="13"/>
        </w:rPr>
        <w:br/>
      </w:r>
    </w:p>
    <w:p w:rsidR="00426D7B" w:rsidRPr="00426D7B" w:rsidRDefault="00426D7B" w:rsidP="00426D7B">
      <w:pPr>
        <w:pStyle w:val="ListParagraph"/>
        <w:numPr>
          <w:ilvl w:val="0"/>
          <w:numId w:val="1"/>
        </w:numPr>
        <w:spacing w:after="0" w:line="240" w:lineRule="auto"/>
        <w:textAlignment w:val="baseline"/>
        <w:outlineLvl w:val="1"/>
        <w:rPr>
          <w:rFonts w:ascii="Times New Roman" w:eastAsia="Times New Roman" w:hAnsi="Times New Roman" w:cs="Times New Roman"/>
          <w:sz w:val="24"/>
          <w:szCs w:val="24"/>
        </w:rPr>
      </w:pPr>
      <w:r w:rsidRPr="00426D7B">
        <w:rPr>
          <w:rFonts w:ascii="Cambria" w:eastAsia="Times New Roman" w:hAnsi="Cambria" w:cs="Arial"/>
          <w:b/>
          <w:bCs/>
          <w:color w:val="000000"/>
          <w:sz w:val="24"/>
          <w:szCs w:val="24"/>
        </w:rPr>
        <w:t>Premature withdrawal penalty of post office FD:</w:t>
      </w:r>
      <w:r>
        <w:rPr>
          <w:rFonts w:ascii="Cambria" w:eastAsia="Times New Roman" w:hAnsi="Cambria" w:cs="Arial"/>
          <w:b/>
          <w:bCs/>
          <w:color w:val="000000"/>
          <w:sz w:val="24"/>
          <w:szCs w:val="24"/>
        </w:rPr>
        <w:t xml:space="preserve"> </w:t>
      </w:r>
      <w:r w:rsidRPr="00426D7B">
        <w:rPr>
          <w:rFonts w:ascii="Cambria" w:eastAsia="Times New Roman" w:hAnsi="Cambria" w:cs="Arial"/>
          <w:color w:val="000000"/>
          <w:sz w:val="24"/>
          <w:szCs w:val="24"/>
          <w:shd w:val="clear" w:color="auto" w:fill="FFFFFF"/>
        </w:rPr>
        <w:t>If a deposit in a five-year account is withdrawn prematurely after four years, interest at the Post Office Savings Account rate of 4% will be paid now.</w:t>
      </w:r>
      <w:r>
        <w:rPr>
          <w:rFonts w:ascii="Cambria" w:eastAsia="Times New Roman" w:hAnsi="Cambria" w:cs="Arial"/>
          <w:color w:val="000000"/>
          <w:sz w:val="24"/>
          <w:szCs w:val="24"/>
          <w:shd w:val="clear" w:color="auto" w:fill="FFFFFF"/>
        </w:rPr>
        <w:t xml:space="preserve"> </w:t>
      </w:r>
      <w:r w:rsidRPr="00426D7B">
        <w:rPr>
          <w:rFonts w:ascii="Cambria" w:eastAsia="Times New Roman" w:hAnsi="Cambria" w:cs="Arial"/>
          <w:color w:val="000000"/>
          <w:sz w:val="24"/>
          <w:szCs w:val="24"/>
          <w:shd w:val="clear" w:color="auto" w:fill="FFFFFF"/>
        </w:rPr>
        <w:t>Previously, if a five-year time deposit account is closed after four years from the date of deposit, interest will be calculated using the rate applicable to three-year time deposit accounts</w:t>
      </w:r>
      <w:r w:rsidRPr="00426D7B">
        <w:rPr>
          <w:rFonts w:ascii="Arial" w:eastAsia="Times New Roman" w:hAnsi="Arial" w:cs="Arial"/>
          <w:color w:val="000000"/>
          <w:sz w:val="13"/>
          <w:szCs w:val="13"/>
          <w:shd w:val="clear" w:color="auto" w:fill="FFFFFF"/>
        </w:rPr>
        <w:t>.</w:t>
      </w:r>
      <w:r w:rsidRPr="00426D7B">
        <w:rPr>
          <w:rFonts w:ascii="Arial" w:eastAsia="Times New Roman" w:hAnsi="Arial" w:cs="Arial"/>
          <w:color w:val="000000"/>
          <w:sz w:val="13"/>
          <w:szCs w:val="13"/>
        </w:rPr>
        <w:br/>
      </w:r>
    </w:p>
    <w:p w:rsidR="006F0C1B" w:rsidRPr="00426D7B" w:rsidRDefault="00426D7B" w:rsidP="00426D7B">
      <w:pPr>
        <w:pStyle w:val="ListParagraph"/>
        <w:numPr>
          <w:ilvl w:val="0"/>
          <w:numId w:val="1"/>
        </w:numPr>
        <w:spacing w:after="0" w:line="240" w:lineRule="auto"/>
        <w:textAlignment w:val="baseline"/>
        <w:outlineLvl w:val="1"/>
        <w:rPr>
          <w:rFonts w:ascii="Times New Roman" w:eastAsia="Times New Roman" w:hAnsi="Times New Roman" w:cs="Times New Roman"/>
          <w:sz w:val="24"/>
          <w:szCs w:val="24"/>
        </w:rPr>
      </w:pPr>
      <w:r w:rsidRPr="00426D7B">
        <w:rPr>
          <w:rFonts w:ascii="Cambria" w:eastAsia="Times New Roman" w:hAnsi="Cambria" w:cs="Arial"/>
          <w:b/>
          <w:bCs/>
          <w:color w:val="000000"/>
          <w:sz w:val="24"/>
          <w:szCs w:val="24"/>
        </w:rPr>
        <w:lastRenderedPageBreak/>
        <w:t xml:space="preserve">Changes Senior Citizen's Savings Scheme (SCSS) </w:t>
      </w:r>
      <w:r w:rsidRPr="00426D7B">
        <w:rPr>
          <w:rFonts w:ascii="Cambria" w:eastAsia="Times New Roman" w:hAnsi="Cambria" w:cs="Arial"/>
          <w:color w:val="000000"/>
          <w:sz w:val="24"/>
          <w:szCs w:val="24"/>
          <w:shd w:val="clear" w:color="auto" w:fill="FFFFFF"/>
        </w:rPr>
        <w:t>1. Extended periods for investing retirement benefits:</w:t>
      </w:r>
      <w:r>
        <w:rPr>
          <w:rFonts w:ascii="Cambria" w:eastAsia="Times New Roman" w:hAnsi="Cambria" w:cs="Arial"/>
          <w:color w:val="000000"/>
          <w:sz w:val="24"/>
          <w:szCs w:val="24"/>
          <w:shd w:val="clear" w:color="auto" w:fill="FFFFFF"/>
        </w:rPr>
        <w:t xml:space="preserve"> </w:t>
      </w:r>
      <w:r w:rsidRPr="00426D7B">
        <w:rPr>
          <w:rFonts w:ascii="Cambria" w:eastAsia="Times New Roman" w:hAnsi="Cambria" w:cs="Arial"/>
          <w:color w:val="000000"/>
          <w:sz w:val="24"/>
          <w:szCs w:val="24"/>
          <w:shd w:val="clear" w:color="auto" w:fill="FFFFFF"/>
        </w:rPr>
        <w:t>A retired person who is above 55 but under 60 years old would now receive three months instead of one month.2. Investment made by a government employee's spouse.</w:t>
      </w:r>
      <w:r>
        <w:rPr>
          <w:rFonts w:ascii="Cambria" w:eastAsia="Times New Roman" w:hAnsi="Cambria" w:cs="Arial"/>
          <w:color w:val="000000"/>
          <w:sz w:val="24"/>
          <w:szCs w:val="24"/>
          <w:shd w:val="clear" w:color="auto" w:fill="FFFFFF"/>
        </w:rPr>
        <w:t xml:space="preserve"> </w:t>
      </w:r>
      <w:r w:rsidRPr="00426D7B">
        <w:rPr>
          <w:rFonts w:ascii="Cambria" w:eastAsia="Times New Roman" w:hAnsi="Cambria" w:cs="Arial"/>
          <w:color w:val="000000"/>
          <w:sz w:val="24"/>
          <w:szCs w:val="24"/>
          <w:shd w:val="clear" w:color="auto" w:fill="FFFFFF"/>
        </w:rPr>
        <w:t>The financial aid amount may now be invested in the program by a government employee's spouse according to the new regulations</w:t>
      </w:r>
      <w:r w:rsidRPr="00426D7B">
        <w:rPr>
          <w:rFonts w:ascii="Arial" w:eastAsia="Times New Roman" w:hAnsi="Arial" w:cs="Arial"/>
          <w:color w:val="000000"/>
          <w:sz w:val="13"/>
          <w:szCs w:val="13"/>
          <w:shd w:val="clear" w:color="auto" w:fill="FFFFFF"/>
        </w:rPr>
        <w:t>.</w:t>
      </w:r>
      <w:r w:rsidRPr="00426D7B">
        <w:rPr>
          <w:rFonts w:ascii="Arial" w:eastAsia="Times New Roman" w:hAnsi="Arial" w:cs="Arial"/>
          <w:color w:val="000000"/>
          <w:sz w:val="13"/>
          <w:szCs w:val="13"/>
        </w:rPr>
        <w:br/>
      </w:r>
    </w:p>
    <w:p w:rsidR="00426D7B" w:rsidRPr="00426D7B" w:rsidRDefault="00426D7B" w:rsidP="00426D7B">
      <w:pPr>
        <w:pStyle w:val="ListParagraph"/>
        <w:numPr>
          <w:ilvl w:val="0"/>
          <w:numId w:val="1"/>
        </w:numPr>
        <w:rPr>
          <w:rFonts w:ascii="Cambria" w:eastAsia="Times New Roman" w:hAnsi="Cambria" w:cs="Times New Roman"/>
          <w:sz w:val="24"/>
          <w:szCs w:val="24"/>
        </w:rPr>
      </w:pPr>
      <w:r w:rsidRPr="00426D7B">
        <w:rPr>
          <w:rFonts w:ascii="Cambria" w:eastAsia="Times New Roman" w:hAnsi="Cambria" w:cs="Arial"/>
          <w:b/>
          <w:color w:val="000000"/>
          <w:sz w:val="24"/>
          <w:szCs w:val="24"/>
          <w:shd w:val="clear" w:color="auto" w:fill="FFFFFF"/>
        </w:rPr>
        <w:t>Scope of retirement benefits defined</w:t>
      </w:r>
      <w:r w:rsidRPr="00426D7B">
        <w:rPr>
          <w:rFonts w:ascii="Cambria" w:eastAsia="Times New Roman" w:hAnsi="Cambria" w:cs="Arial"/>
          <w:color w:val="000000"/>
          <w:sz w:val="24"/>
          <w:szCs w:val="24"/>
          <w:shd w:val="clear" w:color="auto" w:fill="FFFFFF"/>
        </w:rPr>
        <w:t>:</w:t>
      </w:r>
      <w:r>
        <w:rPr>
          <w:rFonts w:ascii="Cambria" w:eastAsia="Times New Roman" w:hAnsi="Cambria" w:cs="Arial"/>
          <w:color w:val="000000"/>
          <w:sz w:val="24"/>
          <w:szCs w:val="24"/>
          <w:shd w:val="clear" w:color="auto" w:fill="FFFFFF"/>
        </w:rPr>
        <w:t xml:space="preserve"> </w:t>
      </w:r>
      <w:r w:rsidRPr="00426D7B">
        <w:rPr>
          <w:rFonts w:ascii="Cambria" w:eastAsia="Times New Roman" w:hAnsi="Cambria" w:cs="Arial"/>
          <w:color w:val="000000"/>
          <w:sz w:val="24"/>
          <w:szCs w:val="24"/>
          <w:shd w:val="clear" w:color="auto" w:fill="FFFFFF"/>
        </w:rPr>
        <w:t>As per the notification, retirement benefit means any payment received by the individual due to retirement or superannuation. This includes provident fund dues, retirement or superannuation or death gratuity, commuted value of pension, leave encashment, savings element of group savings linked insurance scheme payable by the employer on retirement, retirement-cum-withdrawal benefit under Employees' Pension Scheme (EPS) and ex gratia payments under a voluntary or special voluntary retirement scheme."</w:t>
      </w:r>
      <w:r w:rsidRPr="00426D7B">
        <w:rPr>
          <w:rFonts w:ascii="Cambria" w:eastAsia="Times New Roman" w:hAnsi="Cambria" w:cs="Arial"/>
          <w:color w:val="000000"/>
          <w:sz w:val="24"/>
          <w:szCs w:val="24"/>
        </w:rPr>
        <w:br/>
      </w:r>
    </w:p>
    <w:p w:rsidR="00426D7B" w:rsidRPr="00426D7B" w:rsidRDefault="00426D7B" w:rsidP="00426D7B">
      <w:pPr>
        <w:pStyle w:val="ListParagraph"/>
        <w:numPr>
          <w:ilvl w:val="0"/>
          <w:numId w:val="1"/>
        </w:numPr>
        <w:spacing w:after="0" w:line="240" w:lineRule="auto"/>
        <w:textAlignment w:val="baseline"/>
        <w:outlineLvl w:val="1"/>
        <w:rPr>
          <w:rFonts w:ascii="Cambria" w:eastAsia="Times New Roman" w:hAnsi="Cambria" w:cs="Times New Roman"/>
          <w:sz w:val="24"/>
          <w:szCs w:val="24"/>
        </w:rPr>
      </w:pPr>
      <w:r w:rsidRPr="00426D7B">
        <w:rPr>
          <w:rFonts w:ascii="Cambria" w:eastAsia="Times New Roman" w:hAnsi="Cambria" w:cs="Arial"/>
          <w:b/>
          <w:bCs/>
          <w:color w:val="000000"/>
          <w:sz w:val="24"/>
          <w:szCs w:val="24"/>
        </w:rPr>
        <w:t>Multiple annuities from the same life insurance company:</w:t>
      </w:r>
      <w:r>
        <w:rPr>
          <w:rFonts w:ascii="Cambria" w:eastAsia="Times New Roman" w:hAnsi="Cambria" w:cs="Arial"/>
          <w:b/>
          <w:bCs/>
          <w:color w:val="000000"/>
          <w:sz w:val="24"/>
          <w:szCs w:val="24"/>
        </w:rPr>
        <w:t xml:space="preserve"> </w:t>
      </w:r>
      <w:r w:rsidRPr="00426D7B">
        <w:rPr>
          <w:rFonts w:ascii="Cambria" w:eastAsia="Times New Roman" w:hAnsi="Cambria" w:cs="Arial"/>
          <w:color w:val="000000"/>
          <w:sz w:val="24"/>
          <w:szCs w:val="24"/>
          <w:shd w:val="clear" w:color="auto" w:fill="FFFFFF"/>
        </w:rPr>
        <w:t>Subscribers to the National Pension System (NPS) can buy numerous annuity plans from the same provider. The Pension Fund Regulatory Development Authority (PFRDA) has announced that it will now allow multiple annuities for NPS subscribers who earmark the annuity corpus more than Rs 10 lakh, wherein Rs 5 lakh is utilised to buy each annuity scheme. This move is intended to give subscribers a wider range of annuity options.</w:t>
      </w:r>
      <w:r w:rsidRPr="00426D7B">
        <w:rPr>
          <w:rFonts w:ascii="Cambria" w:eastAsia="Times New Roman" w:hAnsi="Cambria" w:cs="Arial"/>
          <w:color w:val="000000"/>
          <w:sz w:val="24"/>
          <w:szCs w:val="24"/>
        </w:rPr>
        <w:br/>
      </w:r>
    </w:p>
    <w:p w:rsidR="00426D7B" w:rsidRPr="00426D7B" w:rsidRDefault="00426D7B" w:rsidP="00426D7B">
      <w:pPr>
        <w:pStyle w:val="ListParagraph"/>
        <w:numPr>
          <w:ilvl w:val="0"/>
          <w:numId w:val="1"/>
        </w:numPr>
        <w:rPr>
          <w:rFonts w:ascii="Times New Roman" w:eastAsia="Times New Roman" w:hAnsi="Times New Roman" w:cs="Times New Roman"/>
          <w:sz w:val="24"/>
          <w:szCs w:val="24"/>
        </w:rPr>
      </w:pPr>
      <w:r w:rsidRPr="00426D7B">
        <w:rPr>
          <w:rFonts w:ascii="Cambria" w:eastAsia="Times New Roman" w:hAnsi="Cambria" w:cs="Arial"/>
          <w:b/>
          <w:bCs/>
          <w:color w:val="000000"/>
          <w:sz w:val="24"/>
          <w:szCs w:val="24"/>
        </w:rPr>
        <w:t xml:space="preserve">Systematic Lumpsum Withdrawal facility: </w:t>
      </w:r>
      <w:r w:rsidRPr="00426D7B">
        <w:rPr>
          <w:rFonts w:ascii="Cambria" w:eastAsia="Times New Roman" w:hAnsi="Cambria" w:cs="Arial"/>
          <w:color w:val="000000"/>
          <w:sz w:val="24"/>
          <w:szCs w:val="24"/>
          <w:shd w:val="clear" w:color="auto" w:fill="FFFFFF"/>
        </w:rPr>
        <w:t>According to the proposed rule, subscribers can withdraw up to 60% of their pension corpus through the SLW on a monthly, quarterly, half-yearly, or annual basis for a period of up to 75 years of age, as chosen at the time of their usual retirement. PFRDA made this announcement via a circular on October 27, 2023</w:t>
      </w:r>
      <w:r w:rsidRPr="00426D7B">
        <w:rPr>
          <w:rFonts w:ascii="Arial" w:eastAsia="Times New Roman" w:hAnsi="Arial" w:cs="Arial"/>
          <w:color w:val="000000"/>
          <w:sz w:val="13"/>
          <w:szCs w:val="13"/>
          <w:shd w:val="clear" w:color="auto" w:fill="FFFFFF"/>
        </w:rPr>
        <w:t>.</w:t>
      </w:r>
      <w:r w:rsidRPr="00426D7B">
        <w:rPr>
          <w:rFonts w:ascii="Arial" w:hAnsi="Arial" w:cs="Arial"/>
          <w:color w:val="000000"/>
          <w:sz w:val="13"/>
          <w:szCs w:val="13"/>
          <w:shd w:val="clear" w:color="auto" w:fill="FFFFFF"/>
        </w:rPr>
        <w:t xml:space="preserve"> </w:t>
      </w:r>
      <w:r w:rsidRPr="00426D7B">
        <w:rPr>
          <w:rFonts w:ascii="Cambria" w:eastAsia="Times New Roman" w:hAnsi="Cambria" w:cs="Arial"/>
          <w:color w:val="000000"/>
          <w:sz w:val="24"/>
          <w:szCs w:val="24"/>
          <w:shd w:val="clear" w:color="auto" w:fill="FFFFFF"/>
        </w:rPr>
        <w:t>With SLW facility, on exit, on account of Superannuation, lumpsum corpus can be withdrawn in a phased manner. Subscriber has an option to withdraw desired amount systematically at regular periodic intervals.</w:t>
      </w:r>
      <w:r w:rsidRPr="00426D7B">
        <w:rPr>
          <w:rFonts w:ascii="Cambria" w:eastAsia="Times New Roman" w:hAnsi="Cambria" w:cs="Arial"/>
          <w:color w:val="000000"/>
          <w:sz w:val="24"/>
          <w:szCs w:val="24"/>
        </w:rPr>
        <w:br/>
      </w:r>
      <w:r w:rsidRPr="00426D7B">
        <w:rPr>
          <w:rFonts w:ascii="Arial" w:eastAsia="Times New Roman" w:hAnsi="Arial" w:cs="Arial"/>
          <w:color w:val="000000"/>
          <w:sz w:val="13"/>
          <w:szCs w:val="13"/>
        </w:rPr>
        <w:br/>
      </w:r>
    </w:p>
    <w:p w:rsidR="00792760" w:rsidRPr="00792760" w:rsidRDefault="00792760" w:rsidP="00792760">
      <w:pPr>
        <w:pStyle w:val="ListParagraph"/>
        <w:numPr>
          <w:ilvl w:val="0"/>
          <w:numId w:val="1"/>
        </w:numPr>
        <w:spacing w:after="0" w:line="240" w:lineRule="auto"/>
        <w:textAlignment w:val="baseline"/>
        <w:outlineLvl w:val="1"/>
        <w:rPr>
          <w:rFonts w:ascii="Cambria" w:eastAsia="Times New Roman" w:hAnsi="Cambria" w:cs="Times New Roman"/>
          <w:sz w:val="24"/>
          <w:szCs w:val="24"/>
        </w:rPr>
      </w:pPr>
      <w:r w:rsidRPr="00792760">
        <w:rPr>
          <w:rFonts w:ascii="Cambria" w:eastAsia="Times New Roman" w:hAnsi="Cambria" w:cs="Arial"/>
          <w:b/>
          <w:bCs/>
          <w:color w:val="000000"/>
          <w:sz w:val="24"/>
          <w:szCs w:val="24"/>
        </w:rPr>
        <w:t>Choose up to 3 pension fund managers for different asset classes:</w:t>
      </w:r>
      <w:r w:rsidRPr="00792760">
        <w:rPr>
          <w:rFonts w:ascii="Cambria" w:eastAsia="Times New Roman" w:hAnsi="Cambria" w:cs="Arial"/>
          <w:color w:val="000000"/>
          <w:sz w:val="24"/>
          <w:szCs w:val="24"/>
          <w:shd w:val="clear" w:color="auto" w:fill="FFFFFF"/>
        </w:rPr>
        <w:t>The Pension Fund Regulatory and Development Authority (PFRDA) has released a circular announcing that National Pension System (NPS) investors can now select multiple pension fund managers for different asset classes. According to the new PFRDA circular, NPS members can choose up to three pension fund managers for various asset classes. An investor may invest in many asset classes, including equities (E), government bonds ( </w:t>
      </w:r>
      <w:r w:rsidRPr="00792760">
        <w:rPr>
          <w:rFonts w:ascii="Cambria" w:eastAsia="Times New Roman" w:hAnsi="Cambria" w:cs="Times New Roman"/>
          <w:sz w:val="24"/>
          <w:szCs w:val="24"/>
        </w:rPr>
        <w:br/>
      </w:r>
    </w:p>
    <w:p w:rsidR="00426D7B" w:rsidRPr="00426D7B" w:rsidRDefault="00426D7B" w:rsidP="00426D7B">
      <w:pPr>
        <w:pStyle w:val="ListParagraph"/>
        <w:numPr>
          <w:ilvl w:val="0"/>
          <w:numId w:val="1"/>
        </w:numPr>
        <w:spacing w:after="0" w:line="240" w:lineRule="auto"/>
        <w:textAlignment w:val="baseline"/>
        <w:outlineLvl w:val="1"/>
        <w:rPr>
          <w:rFonts w:ascii="Cambria" w:eastAsia="Times New Roman" w:hAnsi="Cambria" w:cs="Times New Roman"/>
          <w:sz w:val="24"/>
          <w:szCs w:val="24"/>
        </w:rPr>
      </w:pPr>
      <w:r w:rsidRPr="00426D7B">
        <w:rPr>
          <w:rFonts w:ascii="Cambria" w:eastAsia="Times New Roman" w:hAnsi="Cambria" w:cs="Arial"/>
          <w:b/>
          <w:bCs/>
          <w:color w:val="000000"/>
          <w:sz w:val="24"/>
          <w:szCs w:val="24"/>
        </w:rPr>
        <w:t>Default option available in NPS Tier II accounts for govt</w:t>
      </w:r>
      <w:r w:rsidR="00792760">
        <w:rPr>
          <w:rFonts w:ascii="Cambria" w:eastAsia="Times New Roman" w:hAnsi="Cambria" w:cs="Arial"/>
          <w:b/>
          <w:bCs/>
          <w:color w:val="000000"/>
          <w:sz w:val="24"/>
          <w:szCs w:val="24"/>
        </w:rPr>
        <w:t>.</w:t>
      </w:r>
      <w:r w:rsidRPr="00426D7B">
        <w:rPr>
          <w:rFonts w:ascii="Cambria" w:eastAsia="Times New Roman" w:hAnsi="Cambria" w:cs="Arial"/>
          <w:b/>
          <w:bCs/>
          <w:color w:val="000000"/>
          <w:sz w:val="24"/>
          <w:szCs w:val="24"/>
        </w:rPr>
        <w:t xml:space="preserve"> employees</w:t>
      </w:r>
      <w:r>
        <w:rPr>
          <w:rFonts w:ascii="Cambria" w:eastAsia="Times New Roman" w:hAnsi="Cambria" w:cs="Arial"/>
          <w:b/>
          <w:bCs/>
          <w:color w:val="000000"/>
          <w:sz w:val="24"/>
          <w:szCs w:val="24"/>
        </w:rPr>
        <w:t xml:space="preserve"> </w:t>
      </w:r>
      <w:r w:rsidRPr="00426D7B">
        <w:rPr>
          <w:rFonts w:ascii="Cambria" w:eastAsia="Times New Roman" w:hAnsi="Cambria" w:cs="Arial"/>
          <w:b/>
          <w:bCs/>
          <w:color w:val="000000"/>
          <w:sz w:val="24"/>
          <w:szCs w:val="24"/>
        </w:rPr>
        <w:t>:</w:t>
      </w:r>
      <w:r w:rsidR="00EC6542">
        <w:rPr>
          <w:rFonts w:ascii="Cambria" w:eastAsia="Times New Roman" w:hAnsi="Cambria" w:cs="Arial"/>
          <w:b/>
          <w:bCs/>
          <w:color w:val="000000"/>
          <w:sz w:val="24"/>
          <w:szCs w:val="24"/>
        </w:rPr>
        <w:t xml:space="preserve"> </w:t>
      </w:r>
      <w:r w:rsidR="00792760">
        <w:rPr>
          <w:rFonts w:ascii="Cambria" w:eastAsia="Times New Roman" w:hAnsi="Cambria" w:cs="Arial"/>
          <w:b/>
          <w:bCs/>
          <w:color w:val="000000"/>
          <w:sz w:val="24"/>
          <w:szCs w:val="24"/>
        </w:rPr>
        <w:t xml:space="preserve"> </w:t>
      </w:r>
      <w:r w:rsidRPr="00426D7B">
        <w:rPr>
          <w:rFonts w:ascii="Cambria" w:eastAsia="Times New Roman" w:hAnsi="Cambria" w:cs="Arial"/>
          <w:color w:val="000000"/>
          <w:sz w:val="24"/>
          <w:szCs w:val="24"/>
          <w:shd w:val="clear" w:color="auto" w:fill="FFFFFF"/>
        </w:rPr>
        <w:t xml:space="preserve">The default scheme choice in NPS tier II accounts will now be available to government sector NPS members. The Pension Fund Regulatory and Development Authority </w:t>
      </w:r>
      <w:r w:rsidRPr="00426D7B">
        <w:rPr>
          <w:rFonts w:ascii="Cambria" w:eastAsia="Times New Roman" w:hAnsi="Cambria" w:cs="Arial"/>
          <w:color w:val="000000"/>
          <w:sz w:val="24"/>
          <w:szCs w:val="24"/>
          <w:shd w:val="clear" w:color="auto" w:fill="FFFFFF"/>
        </w:rPr>
        <w:lastRenderedPageBreak/>
        <w:t>(PFRDA) stated in a circular issued on September 22, 2023, that "it has been decided to introduce the NPS Tier II default scheme exclusively for government sector subscribers.”</w:t>
      </w:r>
      <w:r w:rsidRPr="00426D7B">
        <w:rPr>
          <w:rFonts w:ascii="Cambria" w:eastAsia="Times New Roman" w:hAnsi="Cambria" w:cs="Arial"/>
          <w:color w:val="000000"/>
          <w:sz w:val="24"/>
          <w:szCs w:val="24"/>
        </w:rPr>
        <w:br/>
      </w:r>
    </w:p>
    <w:p w:rsidR="00426D7B" w:rsidRPr="00426D7B" w:rsidRDefault="00426D7B" w:rsidP="00EC6542">
      <w:pPr>
        <w:pStyle w:val="ListParagraph"/>
        <w:spacing w:after="0" w:line="240" w:lineRule="auto"/>
        <w:textAlignment w:val="baseline"/>
        <w:rPr>
          <w:rFonts w:ascii="Times New Roman" w:eastAsia="Times New Roman" w:hAnsi="Times New Roman" w:cs="Times New Roman"/>
          <w:sz w:val="24"/>
          <w:szCs w:val="24"/>
        </w:rPr>
      </w:pPr>
      <w:r w:rsidRPr="00426D7B">
        <w:rPr>
          <w:rFonts w:ascii="Arial" w:eastAsia="Times New Roman" w:hAnsi="Arial" w:cs="Arial"/>
          <w:color w:val="000000"/>
          <w:sz w:val="13"/>
          <w:szCs w:val="13"/>
        </w:rPr>
        <w:br/>
      </w:r>
    </w:p>
    <w:p w:rsidR="00426D7B" w:rsidRPr="00426D7B" w:rsidRDefault="00426D7B" w:rsidP="00EC6542">
      <w:pPr>
        <w:pStyle w:val="ListParagraph"/>
        <w:spacing w:after="0" w:line="240" w:lineRule="auto"/>
        <w:rPr>
          <w:rFonts w:ascii="Times New Roman" w:eastAsia="Times New Roman" w:hAnsi="Times New Roman" w:cs="Times New Roman"/>
          <w:sz w:val="24"/>
          <w:szCs w:val="24"/>
        </w:rPr>
      </w:pPr>
    </w:p>
    <w:p w:rsidR="008D4906" w:rsidRPr="006F0C1B" w:rsidRDefault="008D4906" w:rsidP="00EC6542">
      <w:pPr>
        <w:pStyle w:val="ListParagraph"/>
        <w:shd w:val="clear" w:color="auto" w:fill="FFFFFF"/>
        <w:spacing w:after="0" w:line="240" w:lineRule="auto"/>
        <w:textAlignment w:val="baseline"/>
        <w:outlineLvl w:val="1"/>
        <w:rPr>
          <w:rFonts w:ascii="Cambria" w:eastAsia="Times New Roman" w:hAnsi="Cambria" w:cs="Times New Roman"/>
          <w:sz w:val="24"/>
          <w:szCs w:val="24"/>
        </w:rPr>
      </w:pPr>
      <w:r w:rsidRPr="006F0C1B">
        <w:rPr>
          <w:rFonts w:ascii="Cambria" w:eastAsia="Times New Roman" w:hAnsi="Cambria" w:cs="Arial"/>
          <w:color w:val="000000"/>
          <w:sz w:val="24"/>
          <w:szCs w:val="24"/>
        </w:rPr>
        <w:br/>
      </w:r>
      <w:r w:rsidRPr="006F0C1B">
        <w:rPr>
          <w:rFonts w:ascii="Cambria" w:eastAsia="Times New Roman" w:hAnsi="Cambria" w:cs="Times New Roman"/>
          <w:sz w:val="24"/>
          <w:szCs w:val="24"/>
        </w:rPr>
        <w:br/>
      </w:r>
      <w:r w:rsidR="00EC6542">
        <w:rPr>
          <w:noProof/>
        </w:rPr>
        <w:drawing>
          <wp:inline distT="0" distB="0" distL="0" distR="0">
            <wp:extent cx="4961789" cy="3657600"/>
            <wp:effectExtent l="19050" t="0" r="0" b="0"/>
            <wp:docPr id="1" name="Picture 1" descr="Corporate New Year Wishes for Clients &amp; Customers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 New Year Wishes for Clients &amp; Customers 2024"/>
                    <pic:cNvPicPr>
                      <a:picLocks noChangeAspect="1" noChangeArrowheads="1"/>
                    </pic:cNvPicPr>
                  </pic:nvPicPr>
                  <pic:blipFill>
                    <a:blip r:embed="rId7"/>
                    <a:srcRect/>
                    <a:stretch>
                      <a:fillRect/>
                    </a:stretch>
                  </pic:blipFill>
                  <pic:spPr bwMode="auto">
                    <a:xfrm>
                      <a:off x="0" y="0"/>
                      <a:ext cx="4962901" cy="3658420"/>
                    </a:xfrm>
                    <a:prstGeom prst="rect">
                      <a:avLst/>
                    </a:prstGeom>
                    <a:noFill/>
                    <a:ln w="9525">
                      <a:noFill/>
                      <a:miter lim="800000"/>
                      <a:headEnd/>
                      <a:tailEnd/>
                    </a:ln>
                  </pic:spPr>
                </pic:pic>
              </a:graphicData>
            </a:graphic>
          </wp:inline>
        </w:drawing>
      </w:r>
    </w:p>
    <w:p w:rsidR="008D4906" w:rsidRPr="008D4906" w:rsidRDefault="008D4906" w:rsidP="00EC6542">
      <w:pPr>
        <w:pStyle w:val="ListParagraph"/>
        <w:spacing w:after="0" w:line="240" w:lineRule="auto"/>
        <w:rPr>
          <w:rFonts w:ascii="Cambria" w:eastAsia="Times New Roman" w:hAnsi="Cambria" w:cs="Times New Roman"/>
          <w:sz w:val="24"/>
          <w:szCs w:val="24"/>
        </w:rPr>
      </w:pPr>
    </w:p>
    <w:p w:rsidR="008D4906" w:rsidRPr="008D4906" w:rsidRDefault="008D4906" w:rsidP="008D4906">
      <w:pPr>
        <w:pStyle w:val="ListParagraph"/>
        <w:rPr>
          <w:rFonts w:ascii="Arial" w:eastAsia="Times New Roman" w:hAnsi="Arial" w:cs="Arial"/>
          <w:color w:val="000000"/>
          <w:sz w:val="13"/>
          <w:szCs w:val="13"/>
        </w:rPr>
      </w:pPr>
      <w:r w:rsidRPr="008D4906">
        <w:rPr>
          <w:rFonts w:ascii="Arial" w:eastAsia="Times New Roman" w:hAnsi="Arial" w:cs="Arial"/>
          <w:color w:val="000000"/>
          <w:sz w:val="13"/>
          <w:szCs w:val="13"/>
        </w:rPr>
        <w:br/>
      </w:r>
    </w:p>
    <w:p w:rsidR="008D4906" w:rsidRPr="008D4906" w:rsidRDefault="008D4906" w:rsidP="00EC6542">
      <w:pPr>
        <w:pStyle w:val="ListParagraph"/>
        <w:spacing w:after="0" w:line="240" w:lineRule="auto"/>
        <w:rPr>
          <w:rFonts w:ascii="Cambria" w:eastAsia="Times New Roman" w:hAnsi="Cambria" w:cs="Times New Roman"/>
          <w:sz w:val="24"/>
          <w:szCs w:val="24"/>
        </w:rPr>
      </w:pPr>
      <w:r w:rsidRPr="008D4906">
        <w:rPr>
          <w:rFonts w:ascii="Cambria" w:eastAsia="Times New Roman" w:hAnsi="Cambria" w:cs="Arial"/>
          <w:color w:val="000000"/>
          <w:sz w:val="24"/>
          <w:szCs w:val="24"/>
        </w:rPr>
        <w:br/>
      </w:r>
    </w:p>
    <w:p w:rsidR="005A548A" w:rsidRPr="008D4906" w:rsidRDefault="008D4906" w:rsidP="00EC6542">
      <w:pPr>
        <w:pStyle w:val="ListParagraph"/>
        <w:spacing w:after="0" w:line="240" w:lineRule="auto"/>
        <w:rPr>
          <w:rFonts w:ascii="Cambria" w:eastAsia="Times New Roman" w:hAnsi="Cambria" w:cs="Arial"/>
          <w:color w:val="000000"/>
          <w:sz w:val="24"/>
          <w:szCs w:val="24"/>
        </w:rPr>
      </w:pPr>
      <w:r w:rsidRPr="008D4906">
        <w:rPr>
          <w:rFonts w:ascii="Cambria" w:eastAsia="Times New Roman" w:hAnsi="Cambria" w:cs="Arial"/>
          <w:color w:val="000000"/>
          <w:sz w:val="24"/>
          <w:szCs w:val="24"/>
        </w:rPr>
        <w:br/>
      </w:r>
      <w:r w:rsidRPr="008D4906">
        <w:rPr>
          <w:rFonts w:ascii="Cambria" w:eastAsia="Times New Roman" w:hAnsi="Cambria" w:cs="Arial"/>
          <w:color w:val="000000"/>
          <w:sz w:val="24"/>
          <w:szCs w:val="24"/>
        </w:rPr>
        <w:br/>
      </w:r>
    </w:p>
    <w:p w:rsidR="005A548A" w:rsidRPr="005A548A" w:rsidRDefault="005A548A" w:rsidP="005A548A">
      <w:pPr>
        <w:pStyle w:val="ListParagraph"/>
        <w:rPr>
          <w:rFonts w:ascii="Cambria" w:eastAsia="Times New Roman" w:hAnsi="Cambria" w:cs="Times New Roman"/>
          <w:sz w:val="24"/>
          <w:szCs w:val="24"/>
        </w:rPr>
      </w:pPr>
      <w:r w:rsidRPr="005A548A">
        <w:rPr>
          <w:rFonts w:ascii="Cambria" w:eastAsia="Times New Roman" w:hAnsi="Cambria" w:cs="Arial"/>
          <w:color w:val="000000"/>
          <w:sz w:val="24"/>
          <w:szCs w:val="24"/>
        </w:rPr>
        <w:br/>
      </w:r>
    </w:p>
    <w:p w:rsidR="005A548A" w:rsidRPr="005A548A" w:rsidRDefault="005A548A" w:rsidP="005A548A">
      <w:pPr>
        <w:rPr>
          <w:rFonts w:ascii="Cambria" w:eastAsia="Times New Roman" w:hAnsi="Cambria" w:cs="Times New Roman"/>
          <w:sz w:val="24"/>
          <w:szCs w:val="24"/>
        </w:rPr>
      </w:pPr>
    </w:p>
    <w:p w:rsidR="005A548A" w:rsidRPr="005A548A" w:rsidRDefault="005A548A" w:rsidP="005A548A">
      <w:pPr>
        <w:rPr>
          <w:rFonts w:ascii="Times New Roman" w:eastAsia="Times New Roman" w:hAnsi="Times New Roman" w:cs="Times New Roman"/>
          <w:sz w:val="24"/>
          <w:szCs w:val="24"/>
        </w:rPr>
      </w:pPr>
    </w:p>
    <w:p w:rsidR="005A548A" w:rsidRPr="005A548A" w:rsidRDefault="005A548A" w:rsidP="005A548A">
      <w:pPr>
        <w:spacing w:after="0" w:line="240" w:lineRule="auto"/>
        <w:rPr>
          <w:rFonts w:ascii="Times New Roman" w:eastAsia="Times New Roman" w:hAnsi="Times New Roman" w:cs="Times New Roman"/>
          <w:sz w:val="24"/>
          <w:szCs w:val="24"/>
        </w:rPr>
      </w:pPr>
    </w:p>
    <w:sectPr w:rsidR="005A548A" w:rsidRPr="005A548A">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260" w:rsidRDefault="00F97260" w:rsidP="00EC6542">
      <w:pPr>
        <w:spacing w:after="0" w:line="240" w:lineRule="auto"/>
      </w:pPr>
      <w:r>
        <w:separator/>
      </w:r>
    </w:p>
  </w:endnote>
  <w:endnote w:type="continuationSeparator" w:id="1">
    <w:p w:rsidR="00F97260" w:rsidRDefault="00F97260" w:rsidP="00EC65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EC6542">
      <w:tc>
        <w:tcPr>
          <w:tcW w:w="918" w:type="dxa"/>
        </w:tcPr>
        <w:p w:rsidR="00EC6542" w:rsidRDefault="00EC6542">
          <w:pPr>
            <w:pStyle w:val="Footer"/>
            <w:jc w:val="right"/>
            <w:rPr>
              <w:b/>
              <w:color w:val="4F81BD" w:themeColor="accent1"/>
              <w:sz w:val="32"/>
              <w:szCs w:val="32"/>
            </w:rPr>
          </w:pPr>
          <w:fldSimple w:instr=" PAGE   \* MERGEFORMAT ">
            <w:r w:rsidRPr="00EC6542">
              <w:rPr>
                <w:b/>
                <w:noProof/>
                <w:color w:val="4F81BD" w:themeColor="accent1"/>
                <w:sz w:val="32"/>
                <w:szCs w:val="32"/>
              </w:rPr>
              <w:t>6</w:t>
            </w:r>
          </w:fldSimple>
        </w:p>
      </w:tc>
      <w:tc>
        <w:tcPr>
          <w:tcW w:w="7938" w:type="dxa"/>
        </w:tcPr>
        <w:p w:rsidR="00EC6542" w:rsidRDefault="00EC6542">
          <w:pPr>
            <w:pStyle w:val="Footer"/>
          </w:pPr>
          <w:r>
            <w:t>MVC ARTH</w:t>
          </w:r>
        </w:p>
      </w:tc>
    </w:tr>
  </w:tbl>
  <w:p w:rsidR="00EC6542" w:rsidRDefault="00EC65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260" w:rsidRDefault="00F97260" w:rsidP="00EC6542">
      <w:pPr>
        <w:spacing w:after="0" w:line="240" w:lineRule="auto"/>
      </w:pPr>
      <w:r>
        <w:separator/>
      </w:r>
    </w:p>
  </w:footnote>
  <w:footnote w:type="continuationSeparator" w:id="1">
    <w:p w:rsidR="00F97260" w:rsidRDefault="00F97260" w:rsidP="00EC65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6BCCF22B7DDF4120BE939DC6599FF3E2"/>
      </w:placeholder>
      <w:dataBinding w:prefixMappings="xmlns:ns0='http://schemas.openxmlformats.org/package/2006/metadata/core-properties' xmlns:ns1='http://purl.org/dc/elements/1.1/'" w:xpath="/ns0:coreProperties[1]/ns1:title[1]" w:storeItemID="{6C3C8BC8-F283-45AE-878A-BAB7291924A1}"/>
      <w:text/>
    </w:sdtPr>
    <w:sdtContent>
      <w:p w:rsidR="00EC6542" w:rsidRDefault="00EC654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IMPORTANT INCOME TAX UPDATES 2024.25</w:t>
        </w:r>
      </w:p>
    </w:sdtContent>
  </w:sdt>
  <w:p w:rsidR="00EC6542" w:rsidRDefault="00EC65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1476B4"/>
    <w:multiLevelType w:val="hybridMultilevel"/>
    <w:tmpl w:val="8CB22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355271"/>
    <w:multiLevelType w:val="hybridMultilevel"/>
    <w:tmpl w:val="8CB22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useFELayout/>
  </w:compat>
  <w:rsids>
    <w:rsidRoot w:val="005A548A"/>
    <w:rsid w:val="00426D7B"/>
    <w:rsid w:val="005A548A"/>
    <w:rsid w:val="006F0C1B"/>
    <w:rsid w:val="00792760"/>
    <w:rsid w:val="008D4906"/>
    <w:rsid w:val="00EC6542"/>
    <w:rsid w:val="00F972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F0C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A548A"/>
    <w:rPr>
      <w:b/>
      <w:bCs/>
    </w:rPr>
  </w:style>
  <w:style w:type="character" w:styleId="Hyperlink">
    <w:name w:val="Hyperlink"/>
    <w:basedOn w:val="DefaultParagraphFont"/>
    <w:uiPriority w:val="99"/>
    <w:semiHidden/>
    <w:unhideWhenUsed/>
    <w:rsid w:val="005A548A"/>
    <w:rPr>
      <w:color w:val="0000FF"/>
      <w:u w:val="single"/>
    </w:rPr>
  </w:style>
  <w:style w:type="paragraph" w:styleId="ListParagraph">
    <w:name w:val="List Paragraph"/>
    <w:basedOn w:val="Normal"/>
    <w:uiPriority w:val="34"/>
    <w:qFormat/>
    <w:rsid w:val="005A548A"/>
    <w:pPr>
      <w:ind w:left="720"/>
      <w:contextualSpacing/>
    </w:pPr>
  </w:style>
  <w:style w:type="character" w:customStyle="1" w:styleId="Heading2Char">
    <w:name w:val="Heading 2 Char"/>
    <w:basedOn w:val="DefaultParagraphFont"/>
    <w:link w:val="Heading2"/>
    <w:uiPriority w:val="9"/>
    <w:rsid w:val="006F0C1B"/>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EC6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542"/>
  </w:style>
  <w:style w:type="paragraph" w:styleId="Footer">
    <w:name w:val="footer"/>
    <w:basedOn w:val="Normal"/>
    <w:link w:val="FooterChar"/>
    <w:uiPriority w:val="99"/>
    <w:unhideWhenUsed/>
    <w:rsid w:val="00EC6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542"/>
  </w:style>
  <w:style w:type="paragraph" w:styleId="BalloonText">
    <w:name w:val="Balloon Text"/>
    <w:basedOn w:val="Normal"/>
    <w:link w:val="BalloonTextChar"/>
    <w:uiPriority w:val="99"/>
    <w:semiHidden/>
    <w:unhideWhenUsed/>
    <w:rsid w:val="00EC65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5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81630">
      <w:bodyDiv w:val="1"/>
      <w:marLeft w:val="0"/>
      <w:marRight w:val="0"/>
      <w:marTop w:val="0"/>
      <w:marBottom w:val="0"/>
      <w:divBdr>
        <w:top w:val="none" w:sz="0" w:space="0" w:color="auto"/>
        <w:left w:val="none" w:sz="0" w:space="0" w:color="auto"/>
        <w:bottom w:val="none" w:sz="0" w:space="0" w:color="auto"/>
        <w:right w:val="none" w:sz="0" w:space="0" w:color="auto"/>
      </w:divBdr>
      <w:divsChild>
        <w:div w:id="229190876">
          <w:marLeft w:val="0"/>
          <w:marRight w:val="0"/>
          <w:marTop w:val="0"/>
          <w:marBottom w:val="0"/>
          <w:divBdr>
            <w:top w:val="none" w:sz="0" w:space="0" w:color="auto"/>
            <w:left w:val="none" w:sz="0" w:space="0" w:color="auto"/>
            <w:bottom w:val="none" w:sz="0" w:space="0" w:color="auto"/>
            <w:right w:val="none" w:sz="0" w:space="0" w:color="auto"/>
          </w:divBdr>
        </w:div>
      </w:divsChild>
    </w:div>
    <w:div w:id="78524879">
      <w:bodyDiv w:val="1"/>
      <w:marLeft w:val="0"/>
      <w:marRight w:val="0"/>
      <w:marTop w:val="0"/>
      <w:marBottom w:val="0"/>
      <w:divBdr>
        <w:top w:val="none" w:sz="0" w:space="0" w:color="auto"/>
        <w:left w:val="none" w:sz="0" w:space="0" w:color="auto"/>
        <w:bottom w:val="none" w:sz="0" w:space="0" w:color="auto"/>
        <w:right w:val="none" w:sz="0" w:space="0" w:color="auto"/>
      </w:divBdr>
      <w:divsChild>
        <w:div w:id="1425955596">
          <w:marLeft w:val="0"/>
          <w:marRight w:val="0"/>
          <w:marTop w:val="0"/>
          <w:marBottom w:val="0"/>
          <w:divBdr>
            <w:top w:val="none" w:sz="0" w:space="0" w:color="auto"/>
            <w:left w:val="none" w:sz="0" w:space="0" w:color="auto"/>
            <w:bottom w:val="none" w:sz="0" w:space="0" w:color="auto"/>
            <w:right w:val="none" w:sz="0" w:space="0" w:color="auto"/>
          </w:divBdr>
        </w:div>
      </w:divsChild>
    </w:div>
    <w:div w:id="122820625">
      <w:bodyDiv w:val="1"/>
      <w:marLeft w:val="0"/>
      <w:marRight w:val="0"/>
      <w:marTop w:val="0"/>
      <w:marBottom w:val="0"/>
      <w:divBdr>
        <w:top w:val="none" w:sz="0" w:space="0" w:color="auto"/>
        <w:left w:val="none" w:sz="0" w:space="0" w:color="auto"/>
        <w:bottom w:val="none" w:sz="0" w:space="0" w:color="auto"/>
        <w:right w:val="none" w:sz="0" w:space="0" w:color="auto"/>
      </w:divBdr>
      <w:divsChild>
        <w:div w:id="2117823712">
          <w:marLeft w:val="0"/>
          <w:marRight w:val="0"/>
          <w:marTop w:val="0"/>
          <w:marBottom w:val="0"/>
          <w:divBdr>
            <w:top w:val="none" w:sz="0" w:space="0" w:color="auto"/>
            <w:left w:val="none" w:sz="0" w:space="0" w:color="auto"/>
            <w:bottom w:val="none" w:sz="0" w:space="0" w:color="auto"/>
            <w:right w:val="none" w:sz="0" w:space="0" w:color="auto"/>
          </w:divBdr>
        </w:div>
      </w:divsChild>
    </w:div>
    <w:div w:id="140125741">
      <w:bodyDiv w:val="1"/>
      <w:marLeft w:val="0"/>
      <w:marRight w:val="0"/>
      <w:marTop w:val="0"/>
      <w:marBottom w:val="0"/>
      <w:divBdr>
        <w:top w:val="none" w:sz="0" w:space="0" w:color="auto"/>
        <w:left w:val="none" w:sz="0" w:space="0" w:color="auto"/>
        <w:bottom w:val="none" w:sz="0" w:space="0" w:color="auto"/>
        <w:right w:val="none" w:sz="0" w:space="0" w:color="auto"/>
      </w:divBdr>
      <w:divsChild>
        <w:div w:id="1252857911">
          <w:marLeft w:val="0"/>
          <w:marRight w:val="0"/>
          <w:marTop w:val="0"/>
          <w:marBottom w:val="0"/>
          <w:divBdr>
            <w:top w:val="none" w:sz="0" w:space="0" w:color="auto"/>
            <w:left w:val="none" w:sz="0" w:space="0" w:color="auto"/>
            <w:bottom w:val="none" w:sz="0" w:space="0" w:color="auto"/>
            <w:right w:val="none" w:sz="0" w:space="0" w:color="auto"/>
          </w:divBdr>
        </w:div>
      </w:divsChild>
    </w:div>
    <w:div w:id="152452309">
      <w:bodyDiv w:val="1"/>
      <w:marLeft w:val="0"/>
      <w:marRight w:val="0"/>
      <w:marTop w:val="0"/>
      <w:marBottom w:val="0"/>
      <w:divBdr>
        <w:top w:val="none" w:sz="0" w:space="0" w:color="auto"/>
        <w:left w:val="none" w:sz="0" w:space="0" w:color="auto"/>
        <w:bottom w:val="none" w:sz="0" w:space="0" w:color="auto"/>
        <w:right w:val="none" w:sz="0" w:space="0" w:color="auto"/>
      </w:divBdr>
      <w:divsChild>
        <w:div w:id="860971872">
          <w:marLeft w:val="0"/>
          <w:marRight w:val="0"/>
          <w:marTop w:val="0"/>
          <w:marBottom w:val="0"/>
          <w:divBdr>
            <w:top w:val="none" w:sz="0" w:space="0" w:color="auto"/>
            <w:left w:val="none" w:sz="0" w:space="0" w:color="auto"/>
            <w:bottom w:val="none" w:sz="0" w:space="0" w:color="auto"/>
            <w:right w:val="none" w:sz="0" w:space="0" w:color="auto"/>
          </w:divBdr>
        </w:div>
      </w:divsChild>
    </w:div>
    <w:div w:id="167062277">
      <w:bodyDiv w:val="1"/>
      <w:marLeft w:val="0"/>
      <w:marRight w:val="0"/>
      <w:marTop w:val="0"/>
      <w:marBottom w:val="0"/>
      <w:divBdr>
        <w:top w:val="none" w:sz="0" w:space="0" w:color="auto"/>
        <w:left w:val="none" w:sz="0" w:space="0" w:color="auto"/>
        <w:bottom w:val="none" w:sz="0" w:space="0" w:color="auto"/>
        <w:right w:val="none" w:sz="0" w:space="0" w:color="auto"/>
      </w:divBdr>
      <w:divsChild>
        <w:div w:id="499732729">
          <w:marLeft w:val="0"/>
          <w:marRight w:val="0"/>
          <w:marTop w:val="0"/>
          <w:marBottom w:val="0"/>
          <w:divBdr>
            <w:top w:val="none" w:sz="0" w:space="0" w:color="auto"/>
            <w:left w:val="none" w:sz="0" w:space="0" w:color="auto"/>
            <w:bottom w:val="none" w:sz="0" w:space="0" w:color="auto"/>
            <w:right w:val="none" w:sz="0" w:space="0" w:color="auto"/>
          </w:divBdr>
        </w:div>
      </w:divsChild>
    </w:div>
    <w:div w:id="187722200">
      <w:bodyDiv w:val="1"/>
      <w:marLeft w:val="0"/>
      <w:marRight w:val="0"/>
      <w:marTop w:val="0"/>
      <w:marBottom w:val="0"/>
      <w:divBdr>
        <w:top w:val="none" w:sz="0" w:space="0" w:color="auto"/>
        <w:left w:val="none" w:sz="0" w:space="0" w:color="auto"/>
        <w:bottom w:val="none" w:sz="0" w:space="0" w:color="auto"/>
        <w:right w:val="none" w:sz="0" w:space="0" w:color="auto"/>
      </w:divBdr>
      <w:divsChild>
        <w:div w:id="2119449264">
          <w:marLeft w:val="0"/>
          <w:marRight w:val="0"/>
          <w:marTop w:val="0"/>
          <w:marBottom w:val="0"/>
          <w:divBdr>
            <w:top w:val="none" w:sz="0" w:space="0" w:color="auto"/>
            <w:left w:val="none" w:sz="0" w:space="0" w:color="auto"/>
            <w:bottom w:val="none" w:sz="0" w:space="0" w:color="auto"/>
            <w:right w:val="none" w:sz="0" w:space="0" w:color="auto"/>
          </w:divBdr>
        </w:div>
      </w:divsChild>
    </w:div>
    <w:div w:id="201019298">
      <w:bodyDiv w:val="1"/>
      <w:marLeft w:val="0"/>
      <w:marRight w:val="0"/>
      <w:marTop w:val="0"/>
      <w:marBottom w:val="0"/>
      <w:divBdr>
        <w:top w:val="none" w:sz="0" w:space="0" w:color="auto"/>
        <w:left w:val="none" w:sz="0" w:space="0" w:color="auto"/>
        <w:bottom w:val="none" w:sz="0" w:space="0" w:color="auto"/>
        <w:right w:val="none" w:sz="0" w:space="0" w:color="auto"/>
      </w:divBdr>
      <w:divsChild>
        <w:div w:id="2014529848">
          <w:marLeft w:val="0"/>
          <w:marRight w:val="0"/>
          <w:marTop w:val="0"/>
          <w:marBottom w:val="0"/>
          <w:divBdr>
            <w:top w:val="none" w:sz="0" w:space="0" w:color="auto"/>
            <w:left w:val="none" w:sz="0" w:space="0" w:color="auto"/>
            <w:bottom w:val="none" w:sz="0" w:space="0" w:color="auto"/>
            <w:right w:val="none" w:sz="0" w:space="0" w:color="auto"/>
          </w:divBdr>
        </w:div>
      </w:divsChild>
    </w:div>
    <w:div w:id="228461976">
      <w:bodyDiv w:val="1"/>
      <w:marLeft w:val="0"/>
      <w:marRight w:val="0"/>
      <w:marTop w:val="0"/>
      <w:marBottom w:val="0"/>
      <w:divBdr>
        <w:top w:val="none" w:sz="0" w:space="0" w:color="auto"/>
        <w:left w:val="none" w:sz="0" w:space="0" w:color="auto"/>
        <w:bottom w:val="none" w:sz="0" w:space="0" w:color="auto"/>
        <w:right w:val="none" w:sz="0" w:space="0" w:color="auto"/>
      </w:divBdr>
      <w:divsChild>
        <w:div w:id="1785271701">
          <w:marLeft w:val="0"/>
          <w:marRight w:val="0"/>
          <w:marTop w:val="0"/>
          <w:marBottom w:val="0"/>
          <w:divBdr>
            <w:top w:val="none" w:sz="0" w:space="0" w:color="auto"/>
            <w:left w:val="none" w:sz="0" w:space="0" w:color="auto"/>
            <w:bottom w:val="none" w:sz="0" w:space="0" w:color="auto"/>
            <w:right w:val="none" w:sz="0" w:space="0" w:color="auto"/>
          </w:divBdr>
        </w:div>
      </w:divsChild>
    </w:div>
    <w:div w:id="419789784">
      <w:bodyDiv w:val="1"/>
      <w:marLeft w:val="0"/>
      <w:marRight w:val="0"/>
      <w:marTop w:val="0"/>
      <w:marBottom w:val="0"/>
      <w:divBdr>
        <w:top w:val="none" w:sz="0" w:space="0" w:color="auto"/>
        <w:left w:val="none" w:sz="0" w:space="0" w:color="auto"/>
        <w:bottom w:val="none" w:sz="0" w:space="0" w:color="auto"/>
        <w:right w:val="none" w:sz="0" w:space="0" w:color="auto"/>
      </w:divBdr>
      <w:divsChild>
        <w:div w:id="1869677055">
          <w:marLeft w:val="0"/>
          <w:marRight w:val="0"/>
          <w:marTop w:val="0"/>
          <w:marBottom w:val="0"/>
          <w:divBdr>
            <w:top w:val="none" w:sz="0" w:space="0" w:color="auto"/>
            <w:left w:val="none" w:sz="0" w:space="0" w:color="auto"/>
            <w:bottom w:val="none" w:sz="0" w:space="0" w:color="auto"/>
            <w:right w:val="none" w:sz="0" w:space="0" w:color="auto"/>
          </w:divBdr>
        </w:div>
      </w:divsChild>
    </w:div>
    <w:div w:id="485708739">
      <w:bodyDiv w:val="1"/>
      <w:marLeft w:val="0"/>
      <w:marRight w:val="0"/>
      <w:marTop w:val="0"/>
      <w:marBottom w:val="0"/>
      <w:divBdr>
        <w:top w:val="none" w:sz="0" w:space="0" w:color="auto"/>
        <w:left w:val="none" w:sz="0" w:space="0" w:color="auto"/>
        <w:bottom w:val="none" w:sz="0" w:space="0" w:color="auto"/>
        <w:right w:val="none" w:sz="0" w:space="0" w:color="auto"/>
      </w:divBdr>
      <w:divsChild>
        <w:div w:id="1001129425">
          <w:marLeft w:val="0"/>
          <w:marRight w:val="0"/>
          <w:marTop w:val="0"/>
          <w:marBottom w:val="0"/>
          <w:divBdr>
            <w:top w:val="none" w:sz="0" w:space="0" w:color="auto"/>
            <w:left w:val="none" w:sz="0" w:space="0" w:color="auto"/>
            <w:bottom w:val="none" w:sz="0" w:space="0" w:color="auto"/>
            <w:right w:val="none" w:sz="0" w:space="0" w:color="auto"/>
          </w:divBdr>
        </w:div>
      </w:divsChild>
    </w:div>
    <w:div w:id="509098820">
      <w:bodyDiv w:val="1"/>
      <w:marLeft w:val="0"/>
      <w:marRight w:val="0"/>
      <w:marTop w:val="0"/>
      <w:marBottom w:val="0"/>
      <w:divBdr>
        <w:top w:val="none" w:sz="0" w:space="0" w:color="auto"/>
        <w:left w:val="none" w:sz="0" w:space="0" w:color="auto"/>
        <w:bottom w:val="none" w:sz="0" w:space="0" w:color="auto"/>
        <w:right w:val="none" w:sz="0" w:space="0" w:color="auto"/>
      </w:divBdr>
      <w:divsChild>
        <w:div w:id="1591157289">
          <w:marLeft w:val="0"/>
          <w:marRight w:val="0"/>
          <w:marTop w:val="0"/>
          <w:marBottom w:val="0"/>
          <w:divBdr>
            <w:top w:val="none" w:sz="0" w:space="0" w:color="auto"/>
            <w:left w:val="none" w:sz="0" w:space="0" w:color="auto"/>
            <w:bottom w:val="none" w:sz="0" w:space="0" w:color="auto"/>
            <w:right w:val="none" w:sz="0" w:space="0" w:color="auto"/>
          </w:divBdr>
        </w:div>
      </w:divsChild>
    </w:div>
    <w:div w:id="585462238">
      <w:bodyDiv w:val="1"/>
      <w:marLeft w:val="0"/>
      <w:marRight w:val="0"/>
      <w:marTop w:val="0"/>
      <w:marBottom w:val="0"/>
      <w:divBdr>
        <w:top w:val="none" w:sz="0" w:space="0" w:color="auto"/>
        <w:left w:val="none" w:sz="0" w:space="0" w:color="auto"/>
        <w:bottom w:val="none" w:sz="0" w:space="0" w:color="auto"/>
        <w:right w:val="none" w:sz="0" w:space="0" w:color="auto"/>
      </w:divBdr>
      <w:divsChild>
        <w:div w:id="336033958">
          <w:marLeft w:val="0"/>
          <w:marRight w:val="0"/>
          <w:marTop w:val="0"/>
          <w:marBottom w:val="0"/>
          <w:divBdr>
            <w:top w:val="none" w:sz="0" w:space="0" w:color="auto"/>
            <w:left w:val="none" w:sz="0" w:space="0" w:color="auto"/>
            <w:bottom w:val="none" w:sz="0" w:space="0" w:color="auto"/>
            <w:right w:val="none" w:sz="0" w:space="0" w:color="auto"/>
          </w:divBdr>
        </w:div>
      </w:divsChild>
    </w:div>
    <w:div w:id="745303282">
      <w:bodyDiv w:val="1"/>
      <w:marLeft w:val="0"/>
      <w:marRight w:val="0"/>
      <w:marTop w:val="0"/>
      <w:marBottom w:val="0"/>
      <w:divBdr>
        <w:top w:val="none" w:sz="0" w:space="0" w:color="auto"/>
        <w:left w:val="none" w:sz="0" w:space="0" w:color="auto"/>
        <w:bottom w:val="none" w:sz="0" w:space="0" w:color="auto"/>
        <w:right w:val="none" w:sz="0" w:space="0" w:color="auto"/>
      </w:divBdr>
      <w:divsChild>
        <w:div w:id="516777669">
          <w:marLeft w:val="0"/>
          <w:marRight w:val="0"/>
          <w:marTop w:val="0"/>
          <w:marBottom w:val="0"/>
          <w:divBdr>
            <w:top w:val="none" w:sz="0" w:space="0" w:color="auto"/>
            <w:left w:val="none" w:sz="0" w:space="0" w:color="auto"/>
            <w:bottom w:val="none" w:sz="0" w:space="0" w:color="auto"/>
            <w:right w:val="none" w:sz="0" w:space="0" w:color="auto"/>
          </w:divBdr>
        </w:div>
      </w:divsChild>
    </w:div>
    <w:div w:id="795685968">
      <w:bodyDiv w:val="1"/>
      <w:marLeft w:val="0"/>
      <w:marRight w:val="0"/>
      <w:marTop w:val="0"/>
      <w:marBottom w:val="0"/>
      <w:divBdr>
        <w:top w:val="none" w:sz="0" w:space="0" w:color="auto"/>
        <w:left w:val="none" w:sz="0" w:space="0" w:color="auto"/>
        <w:bottom w:val="none" w:sz="0" w:space="0" w:color="auto"/>
        <w:right w:val="none" w:sz="0" w:space="0" w:color="auto"/>
      </w:divBdr>
      <w:divsChild>
        <w:div w:id="1479498946">
          <w:marLeft w:val="0"/>
          <w:marRight w:val="0"/>
          <w:marTop w:val="0"/>
          <w:marBottom w:val="0"/>
          <w:divBdr>
            <w:top w:val="none" w:sz="0" w:space="0" w:color="auto"/>
            <w:left w:val="none" w:sz="0" w:space="0" w:color="auto"/>
            <w:bottom w:val="none" w:sz="0" w:space="0" w:color="auto"/>
            <w:right w:val="none" w:sz="0" w:space="0" w:color="auto"/>
          </w:divBdr>
        </w:div>
      </w:divsChild>
    </w:div>
    <w:div w:id="845436151">
      <w:bodyDiv w:val="1"/>
      <w:marLeft w:val="0"/>
      <w:marRight w:val="0"/>
      <w:marTop w:val="0"/>
      <w:marBottom w:val="0"/>
      <w:divBdr>
        <w:top w:val="none" w:sz="0" w:space="0" w:color="auto"/>
        <w:left w:val="none" w:sz="0" w:space="0" w:color="auto"/>
        <w:bottom w:val="none" w:sz="0" w:space="0" w:color="auto"/>
        <w:right w:val="none" w:sz="0" w:space="0" w:color="auto"/>
      </w:divBdr>
      <w:divsChild>
        <w:div w:id="1680815983">
          <w:marLeft w:val="0"/>
          <w:marRight w:val="0"/>
          <w:marTop w:val="0"/>
          <w:marBottom w:val="0"/>
          <w:divBdr>
            <w:top w:val="none" w:sz="0" w:space="0" w:color="auto"/>
            <w:left w:val="none" w:sz="0" w:space="0" w:color="auto"/>
            <w:bottom w:val="none" w:sz="0" w:space="0" w:color="auto"/>
            <w:right w:val="none" w:sz="0" w:space="0" w:color="auto"/>
          </w:divBdr>
        </w:div>
      </w:divsChild>
    </w:div>
    <w:div w:id="888225508">
      <w:bodyDiv w:val="1"/>
      <w:marLeft w:val="0"/>
      <w:marRight w:val="0"/>
      <w:marTop w:val="0"/>
      <w:marBottom w:val="0"/>
      <w:divBdr>
        <w:top w:val="none" w:sz="0" w:space="0" w:color="auto"/>
        <w:left w:val="none" w:sz="0" w:space="0" w:color="auto"/>
        <w:bottom w:val="none" w:sz="0" w:space="0" w:color="auto"/>
        <w:right w:val="none" w:sz="0" w:space="0" w:color="auto"/>
      </w:divBdr>
      <w:divsChild>
        <w:div w:id="1286816043">
          <w:marLeft w:val="0"/>
          <w:marRight w:val="0"/>
          <w:marTop w:val="0"/>
          <w:marBottom w:val="0"/>
          <w:divBdr>
            <w:top w:val="none" w:sz="0" w:space="0" w:color="auto"/>
            <w:left w:val="none" w:sz="0" w:space="0" w:color="auto"/>
            <w:bottom w:val="none" w:sz="0" w:space="0" w:color="auto"/>
            <w:right w:val="none" w:sz="0" w:space="0" w:color="auto"/>
          </w:divBdr>
        </w:div>
      </w:divsChild>
    </w:div>
    <w:div w:id="946038125">
      <w:bodyDiv w:val="1"/>
      <w:marLeft w:val="0"/>
      <w:marRight w:val="0"/>
      <w:marTop w:val="0"/>
      <w:marBottom w:val="0"/>
      <w:divBdr>
        <w:top w:val="none" w:sz="0" w:space="0" w:color="auto"/>
        <w:left w:val="none" w:sz="0" w:space="0" w:color="auto"/>
        <w:bottom w:val="none" w:sz="0" w:space="0" w:color="auto"/>
        <w:right w:val="none" w:sz="0" w:space="0" w:color="auto"/>
      </w:divBdr>
    </w:div>
    <w:div w:id="1057045255">
      <w:bodyDiv w:val="1"/>
      <w:marLeft w:val="0"/>
      <w:marRight w:val="0"/>
      <w:marTop w:val="0"/>
      <w:marBottom w:val="0"/>
      <w:divBdr>
        <w:top w:val="none" w:sz="0" w:space="0" w:color="auto"/>
        <w:left w:val="none" w:sz="0" w:space="0" w:color="auto"/>
        <w:bottom w:val="none" w:sz="0" w:space="0" w:color="auto"/>
        <w:right w:val="none" w:sz="0" w:space="0" w:color="auto"/>
      </w:divBdr>
      <w:divsChild>
        <w:div w:id="164561621">
          <w:marLeft w:val="0"/>
          <w:marRight w:val="0"/>
          <w:marTop w:val="0"/>
          <w:marBottom w:val="0"/>
          <w:divBdr>
            <w:top w:val="none" w:sz="0" w:space="0" w:color="auto"/>
            <w:left w:val="none" w:sz="0" w:space="0" w:color="auto"/>
            <w:bottom w:val="none" w:sz="0" w:space="0" w:color="auto"/>
            <w:right w:val="none" w:sz="0" w:space="0" w:color="auto"/>
          </w:divBdr>
        </w:div>
      </w:divsChild>
    </w:div>
    <w:div w:id="1082214488">
      <w:bodyDiv w:val="1"/>
      <w:marLeft w:val="0"/>
      <w:marRight w:val="0"/>
      <w:marTop w:val="0"/>
      <w:marBottom w:val="0"/>
      <w:divBdr>
        <w:top w:val="none" w:sz="0" w:space="0" w:color="auto"/>
        <w:left w:val="none" w:sz="0" w:space="0" w:color="auto"/>
        <w:bottom w:val="none" w:sz="0" w:space="0" w:color="auto"/>
        <w:right w:val="none" w:sz="0" w:space="0" w:color="auto"/>
      </w:divBdr>
      <w:divsChild>
        <w:div w:id="1525317582">
          <w:marLeft w:val="0"/>
          <w:marRight w:val="0"/>
          <w:marTop w:val="0"/>
          <w:marBottom w:val="0"/>
          <w:divBdr>
            <w:top w:val="none" w:sz="0" w:space="0" w:color="auto"/>
            <w:left w:val="none" w:sz="0" w:space="0" w:color="auto"/>
            <w:bottom w:val="none" w:sz="0" w:space="0" w:color="auto"/>
            <w:right w:val="none" w:sz="0" w:space="0" w:color="auto"/>
          </w:divBdr>
        </w:div>
      </w:divsChild>
    </w:div>
    <w:div w:id="1163158300">
      <w:bodyDiv w:val="1"/>
      <w:marLeft w:val="0"/>
      <w:marRight w:val="0"/>
      <w:marTop w:val="0"/>
      <w:marBottom w:val="0"/>
      <w:divBdr>
        <w:top w:val="none" w:sz="0" w:space="0" w:color="auto"/>
        <w:left w:val="none" w:sz="0" w:space="0" w:color="auto"/>
        <w:bottom w:val="none" w:sz="0" w:space="0" w:color="auto"/>
        <w:right w:val="none" w:sz="0" w:space="0" w:color="auto"/>
      </w:divBdr>
      <w:divsChild>
        <w:div w:id="1023822571">
          <w:marLeft w:val="0"/>
          <w:marRight w:val="0"/>
          <w:marTop w:val="0"/>
          <w:marBottom w:val="0"/>
          <w:divBdr>
            <w:top w:val="none" w:sz="0" w:space="0" w:color="auto"/>
            <w:left w:val="none" w:sz="0" w:space="0" w:color="auto"/>
            <w:bottom w:val="none" w:sz="0" w:space="0" w:color="auto"/>
            <w:right w:val="none" w:sz="0" w:space="0" w:color="auto"/>
          </w:divBdr>
        </w:div>
      </w:divsChild>
    </w:div>
    <w:div w:id="1175072082">
      <w:bodyDiv w:val="1"/>
      <w:marLeft w:val="0"/>
      <w:marRight w:val="0"/>
      <w:marTop w:val="0"/>
      <w:marBottom w:val="0"/>
      <w:divBdr>
        <w:top w:val="none" w:sz="0" w:space="0" w:color="auto"/>
        <w:left w:val="none" w:sz="0" w:space="0" w:color="auto"/>
        <w:bottom w:val="none" w:sz="0" w:space="0" w:color="auto"/>
        <w:right w:val="none" w:sz="0" w:space="0" w:color="auto"/>
      </w:divBdr>
      <w:divsChild>
        <w:div w:id="1912999568">
          <w:marLeft w:val="0"/>
          <w:marRight w:val="0"/>
          <w:marTop w:val="0"/>
          <w:marBottom w:val="0"/>
          <w:divBdr>
            <w:top w:val="none" w:sz="0" w:space="0" w:color="auto"/>
            <w:left w:val="none" w:sz="0" w:space="0" w:color="auto"/>
            <w:bottom w:val="none" w:sz="0" w:space="0" w:color="auto"/>
            <w:right w:val="none" w:sz="0" w:space="0" w:color="auto"/>
          </w:divBdr>
        </w:div>
      </w:divsChild>
    </w:div>
    <w:div w:id="1211108191">
      <w:bodyDiv w:val="1"/>
      <w:marLeft w:val="0"/>
      <w:marRight w:val="0"/>
      <w:marTop w:val="0"/>
      <w:marBottom w:val="0"/>
      <w:divBdr>
        <w:top w:val="none" w:sz="0" w:space="0" w:color="auto"/>
        <w:left w:val="none" w:sz="0" w:space="0" w:color="auto"/>
        <w:bottom w:val="none" w:sz="0" w:space="0" w:color="auto"/>
        <w:right w:val="none" w:sz="0" w:space="0" w:color="auto"/>
      </w:divBdr>
      <w:divsChild>
        <w:div w:id="774642321">
          <w:marLeft w:val="0"/>
          <w:marRight w:val="0"/>
          <w:marTop w:val="0"/>
          <w:marBottom w:val="0"/>
          <w:divBdr>
            <w:top w:val="none" w:sz="0" w:space="0" w:color="auto"/>
            <w:left w:val="none" w:sz="0" w:space="0" w:color="auto"/>
            <w:bottom w:val="none" w:sz="0" w:space="0" w:color="auto"/>
            <w:right w:val="none" w:sz="0" w:space="0" w:color="auto"/>
          </w:divBdr>
        </w:div>
      </w:divsChild>
    </w:div>
    <w:div w:id="1364286521">
      <w:bodyDiv w:val="1"/>
      <w:marLeft w:val="0"/>
      <w:marRight w:val="0"/>
      <w:marTop w:val="0"/>
      <w:marBottom w:val="0"/>
      <w:divBdr>
        <w:top w:val="none" w:sz="0" w:space="0" w:color="auto"/>
        <w:left w:val="none" w:sz="0" w:space="0" w:color="auto"/>
        <w:bottom w:val="none" w:sz="0" w:space="0" w:color="auto"/>
        <w:right w:val="none" w:sz="0" w:space="0" w:color="auto"/>
      </w:divBdr>
      <w:divsChild>
        <w:div w:id="900602524">
          <w:marLeft w:val="0"/>
          <w:marRight w:val="0"/>
          <w:marTop w:val="0"/>
          <w:marBottom w:val="0"/>
          <w:divBdr>
            <w:top w:val="none" w:sz="0" w:space="0" w:color="auto"/>
            <w:left w:val="none" w:sz="0" w:space="0" w:color="auto"/>
            <w:bottom w:val="none" w:sz="0" w:space="0" w:color="auto"/>
            <w:right w:val="none" w:sz="0" w:space="0" w:color="auto"/>
          </w:divBdr>
        </w:div>
      </w:divsChild>
    </w:div>
    <w:div w:id="1460034533">
      <w:bodyDiv w:val="1"/>
      <w:marLeft w:val="0"/>
      <w:marRight w:val="0"/>
      <w:marTop w:val="0"/>
      <w:marBottom w:val="0"/>
      <w:divBdr>
        <w:top w:val="none" w:sz="0" w:space="0" w:color="auto"/>
        <w:left w:val="none" w:sz="0" w:space="0" w:color="auto"/>
        <w:bottom w:val="none" w:sz="0" w:space="0" w:color="auto"/>
        <w:right w:val="none" w:sz="0" w:space="0" w:color="auto"/>
      </w:divBdr>
      <w:divsChild>
        <w:div w:id="1949892784">
          <w:marLeft w:val="0"/>
          <w:marRight w:val="0"/>
          <w:marTop w:val="0"/>
          <w:marBottom w:val="0"/>
          <w:divBdr>
            <w:top w:val="none" w:sz="0" w:space="0" w:color="auto"/>
            <w:left w:val="none" w:sz="0" w:space="0" w:color="auto"/>
            <w:bottom w:val="none" w:sz="0" w:space="0" w:color="auto"/>
            <w:right w:val="none" w:sz="0" w:space="0" w:color="auto"/>
          </w:divBdr>
        </w:div>
      </w:divsChild>
    </w:div>
    <w:div w:id="1505315386">
      <w:bodyDiv w:val="1"/>
      <w:marLeft w:val="0"/>
      <w:marRight w:val="0"/>
      <w:marTop w:val="0"/>
      <w:marBottom w:val="0"/>
      <w:divBdr>
        <w:top w:val="none" w:sz="0" w:space="0" w:color="auto"/>
        <w:left w:val="none" w:sz="0" w:space="0" w:color="auto"/>
        <w:bottom w:val="none" w:sz="0" w:space="0" w:color="auto"/>
        <w:right w:val="none" w:sz="0" w:space="0" w:color="auto"/>
      </w:divBdr>
      <w:divsChild>
        <w:div w:id="1015695034">
          <w:marLeft w:val="0"/>
          <w:marRight w:val="0"/>
          <w:marTop w:val="0"/>
          <w:marBottom w:val="0"/>
          <w:divBdr>
            <w:top w:val="none" w:sz="0" w:space="0" w:color="auto"/>
            <w:left w:val="none" w:sz="0" w:space="0" w:color="auto"/>
            <w:bottom w:val="none" w:sz="0" w:space="0" w:color="auto"/>
            <w:right w:val="none" w:sz="0" w:space="0" w:color="auto"/>
          </w:divBdr>
        </w:div>
      </w:divsChild>
    </w:div>
    <w:div w:id="1542670189">
      <w:bodyDiv w:val="1"/>
      <w:marLeft w:val="0"/>
      <w:marRight w:val="0"/>
      <w:marTop w:val="0"/>
      <w:marBottom w:val="0"/>
      <w:divBdr>
        <w:top w:val="none" w:sz="0" w:space="0" w:color="auto"/>
        <w:left w:val="none" w:sz="0" w:space="0" w:color="auto"/>
        <w:bottom w:val="none" w:sz="0" w:space="0" w:color="auto"/>
        <w:right w:val="none" w:sz="0" w:space="0" w:color="auto"/>
      </w:divBdr>
      <w:divsChild>
        <w:div w:id="1987279643">
          <w:marLeft w:val="0"/>
          <w:marRight w:val="0"/>
          <w:marTop w:val="0"/>
          <w:marBottom w:val="0"/>
          <w:divBdr>
            <w:top w:val="none" w:sz="0" w:space="0" w:color="auto"/>
            <w:left w:val="none" w:sz="0" w:space="0" w:color="auto"/>
            <w:bottom w:val="none" w:sz="0" w:space="0" w:color="auto"/>
            <w:right w:val="none" w:sz="0" w:space="0" w:color="auto"/>
          </w:divBdr>
        </w:div>
      </w:divsChild>
    </w:div>
    <w:div w:id="1566794511">
      <w:bodyDiv w:val="1"/>
      <w:marLeft w:val="0"/>
      <w:marRight w:val="0"/>
      <w:marTop w:val="0"/>
      <w:marBottom w:val="0"/>
      <w:divBdr>
        <w:top w:val="none" w:sz="0" w:space="0" w:color="auto"/>
        <w:left w:val="none" w:sz="0" w:space="0" w:color="auto"/>
        <w:bottom w:val="none" w:sz="0" w:space="0" w:color="auto"/>
        <w:right w:val="none" w:sz="0" w:space="0" w:color="auto"/>
      </w:divBdr>
      <w:divsChild>
        <w:div w:id="339892823">
          <w:marLeft w:val="0"/>
          <w:marRight w:val="0"/>
          <w:marTop w:val="0"/>
          <w:marBottom w:val="0"/>
          <w:divBdr>
            <w:top w:val="none" w:sz="0" w:space="0" w:color="auto"/>
            <w:left w:val="none" w:sz="0" w:space="0" w:color="auto"/>
            <w:bottom w:val="none" w:sz="0" w:space="0" w:color="auto"/>
            <w:right w:val="none" w:sz="0" w:space="0" w:color="auto"/>
          </w:divBdr>
        </w:div>
      </w:divsChild>
    </w:div>
    <w:div w:id="1663466239">
      <w:bodyDiv w:val="1"/>
      <w:marLeft w:val="0"/>
      <w:marRight w:val="0"/>
      <w:marTop w:val="0"/>
      <w:marBottom w:val="0"/>
      <w:divBdr>
        <w:top w:val="none" w:sz="0" w:space="0" w:color="auto"/>
        <w:left w:val="none" w:sz="0" w:space="0" w:color="auto"/>
        <w:bottom w:val="none" w:sz="0" w:space="0" w:color="auto"/>
        <w:right w:val="none" w:sz="0" w:space="0" w:color="auto"/>
      </w:divBdr>
      <w:divsChild>
        <w:div w:id="573780301">
          <w:marLeft w:val="0"/>
          <w:marRight w:val="0"/>
          <w:marTop w:val="0"/>
          <w:marBottom w:val="0"/>
          <w:divBdr>
            <w:top w:val="none" w:sz="0" w:space="0" w:color="auto"/>
            <w:left w:val="none" w:sz="0" w:space="0" w:color="auto"/>
            <w:bottom w:val="none" w:sz="0" w:space="0" w:color="auto"/>
            <w:right w:val="none" w:sz="0" w:space="0" w:color="auto"/>
          </w:divBdr>
        </w:div>
      </w:divsChild>
    </w:div>
    <w:div w:id="1729189182">
      <w:bodyDiv w:val="1"/>
      <w:marLeft w:val="0"/>
      <w:marRight w:val="0"/>
      <w:marTop w:val="0"/>
      <w:marBottom w:val="0"/>
      <w:divBdr>
        <w:top w:val="none" w:sz="0" w:space="0" w:color="auto"/>
        <w:left w:val="none" w:sz="0" w:space="0" w:color="auto"/>
        <w:bottom w:val="none" w:sz="0" w:space="0" w:color="auto"/>
        <w:right w:val="none" w:sz="0" w:space="0" w:color="auto"/>
      </w:divBdr>
      <w:divsChild>
        <w:div w:id="995381450">
          <w:marLeft w:val="0"/>
          <w:marRight w:val="0"/>
          <w:marTop w:val="0"/>
          <w:marBottom w:val="0"/>
          <w:divBdr>
            <w:top w:val="none" w:sz="0" w:space="0" w:color="auto"/>
            <w:left w:val="none" w:sz="0" w:space="0" w:color="auto"/>
            <w:bottom w:val="none" w:sz="0" w:space="0" w:color="auto"/>
            <w:right w:val="none" w:sz="0" w:space="0" w:color="auto"/>
          </w:divBdr>
        </w:div>
      </w:divsChild>
    </w:div>
    <w:div w:id="1792750546">
      <w:bodyDiv w:val="1"/>
      <w:marLeft w:val="0"/>
      <w:marRight w:val="0"/>
      <w:marTop w:val="0"/>
      <w:marBottom w:val="0"/>
      <w:divBdr>
        <w:top w:val="none" w:sz="0" w:space="0" w:color="auto"/>
        <w:left w:val="none" w:sz="0" w:space="0" w:color="auto"/>
        <w:bottom w:val="none" w:sz="0" w:space="0" w:color="auto"/>
        <w:right w:val="none" w:sz="0" w:space="0" w:color="auto"/>
      </w:divBdr>
      <w:divsChild>
        <w:div w:id="1247377529">
          <w:marLeft w:val="0"/>
          <w:marRight w:val="0"/>
          <w:marTop w:val="0"/>
          <w:marBottom w:val="0"/>
          <w:divBdr>
            <w:top w:val="none" w:sz="0" w:space="0" w:color="auto"/>
            <w:left w:val="none" w:sz="0" w:space="0" w:color="auto"/>
            <w:bottom w:val="none" w:sz="0" w:space="0" w:color="auto"/>
            <w:right w:val="none" w:sz="0" w:space="0" w:color="auto"/>
          </w:divBdr>
        </w:div>
      </w:divsChild>
    </w:div>
    <w:div w:id="1886719956">
      <w:bodyDiv w:val="1"/>
      <w:marLeft w:val="0"/>
      <w:marRight w:val="0"/>
      <w:marTop w:val="0"/>
      <w:marBottom w:val="0"/>
      <w:divBdr>
        <w:top w:val="none" w:sz="0" w:space="0" w:color="auto"/>
        <w:left w:val="none" w:sz="0" w:space="0" w:color="auto"/>
        <w:bottom w:val="none" w:sz="0" w:space="0" w:color="auto"/>
        <w:right w:val="none" w:sz="0" w:space="0" w:color="auto"/>
      </w:divBdr>
      <w:divsChild>
        <w:div w:id="1782257512">
          <w:marLeft w:val="0"/>
          <w:marRight w:val="0"/>
          <w:marTop w:val="0"/>
          <w:marBottom w:val="0"/>
          <w:divBdr>
            <w:top w:val="none" w:sz="0" w:space="0" w:color="auto"/>
            <w:left w:val="none" w:sz="0" w:space="0" w:color="auto"/>
            <w:bottom w:val="none" w:sz="0" w:space="0" w:color="auto"/>
            <w:right w:val="none" w:sz="0" w:space="0" w:color="auto"/>
          </w:divBdr>
        </w:div>
      </w:divsChild>
    </w:div>
    <w:div w:id="1912352621">
      <w:bodyDiv w:val="1"/>
      <w:marLeft w:val="0"/>
      <w:marRight w:val="0"/>
      <w:marTop w:val="0"/>
      <w:marBottom w:val="0"/>
      <w:divBdr>
        <w:top w:val="none" w:sz="0" w:space="0" w:color="auto"/>
        <w:left w:val="none" w:sz="0" w:space="0" w:color="auto"/>
        <w:bottom w:val="none" w:sz="0" w:space="0" w:color="auto"/>
        <w:right w:val="none" w:sz="0" w:space="0" w:color="auto"/>
      </w:divBdr>
      <w:divsChild>
        <w:div w:id="606428473">
          <w:marLeft w:val="0"/>
          <w:marRight w:val="0"/>
          <w:marTop w:val="0"/>
          <w:marBottom w:val="0"/>
          <w:divBdr>
            <w:top w:val="none" w:sz="0" w:space="0" w:color="auto"/>
            <w:left w:val="none" w:sz="0" w:space="0" w:color="auto"/>
            <w:bottom w:val="none" w:sz="0" w:space="0" w:color="auto"/>
            <w:right w:val="none" w:sz="0" w:space="0" w:color="auto"/>
          </w:divBdr>
        </w:div>
      </w:divsChild>
    </w:div>
    <w:div w:id="2065834150">
      <w:bodyDiv w:val="1"/>
      <w:marLeft w:val="0"/>
      <w:marRight w:val="0"/>
      <w:marTop w:val="0"/>
      <w:marBottom w:val="0"/>
      <w:divBdr>
        <w:top w:val="none" w:sz="0" w:space="0" w:color="auto"/>
        <w:left w:val="none" w:sz="0" w:space="0" w:color="auto"/>
        <w:bottom w:val="none" w:sz="0" w:space="0" w:color="auto"/>
        <w:right w:val="none" w:sz="0" w:space="0" w:color="auto"/>
      </w:divBdr>
      <w:divsChild>
        <w:div w:id="1514612161">
          <w:marLeft w:val="0"/>
          <w:marRight w:val="0"/>
          <w:marTop w:val="0"/>
          <w:marBottom w:val="0"/>
          <w:divBdr>
            <w:top w:val="none" w:sz="0" w:space="0" w:color="auto"/>
            <w:left w:val="none" w:sz="0" w:space="0" w:color="auto"/>
            <w:bottom w:val="none" w:sz="0" w:space="0" w:color="auto"/>
            <w:right w:val="none" w:sz="0" w:space="0" w:color="auto"/>
          </w:divBdr>
        </w:div>
      </w:divsChild>
    </w:div>
    <w:div w:id="2086955326">
      <w:bodyDiv w:val="1"/>
      <w:marLeft w:val="0"/>
      <w:marRight w:val="0"/>
      <w:marTop w:val="0"/>
      <w:marBottom w:val="0"/>
      <w:divBdr>
        <w:top w:val="none" w:sz="0" w:space="0" w:color="auto"/>
        <w:left w:val="none" w:sz="0" w:space="0" w:color="auto"/>
        <w:bottom w:val="none" w:sz="0" w:space="0" w:color="auto"/>
        <w:right w:val="none" w:sz="0" w:space="0" w:color="auto"/>
      </w:divBdr>
      <w:divsChild>
        <w:div w:id="599024303">
          <w:marLeft w:val="0"/>
          <w:marRight w:val="0"/>
          <w:marTop w:val="0"/>
          <w:marBottom w:val="0"/>
          <w:divBdr>
            <w:top w:val="none" w:sz="0" w:space="0" w:color="auto"/>
            <w:left w:val="none" w:sz="0" w:space="0" w:color="auto"/>
            <w:bottom w:val="none" w:sz="0" w:space="0" w:color="auto"/>
            <w:right w:val="none" w:sz="0" w:space="0" w:color="auto"/>
          </w:divBdr>
        </w:div>
      </w:divsChild>
    </w:div>
    <w:div w:id="2143962907">
      <w:bodyDiv w:val="1"/>
      <w:marLeft w:val="0"/>
      <w:marRight w:val="0"/>
      <w:marTop w:val="0"/>
      <w:marBottom w:val="0"/>
      <w:divBdr>
        <w:top w:val="none" w:sz="0" w:space="0" w:color="auto"/>
        <w:left w:val="none" w:sz="0" w:space="0" w:color="auto"/>
        <w:bottom w:val="none" w:sz="0" w:space="0" w:color="auto"/>
        <w:right w:val="none" w:sz="0" w:space="0" w:color="auto"/>
      </w:divBdr>
      <w:divsChild>
        <w:div w:id="1359042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BCCF22B7DDF4120BE939DC6599FF3E2"/>
        <w:category>
          <w:name w:val="General"/>
          <w:gallery w:val="placeholder"/>
        </w:category>
        <w:types>
          <w:type w:val="bbPlcHdr"/>
        </w:types>
        <w:behaviors>
          <w:behavior w:val="content"/>
        </w:behaviors>
        <w:guid w:val="{E0C72534-B5AD-4D52-B0E1-B4CF2B8A9FFC}"/>
      </w:docPartPr>
      <w:docPartBody>
        <w:p w:rsidR="00000000" w:rsidRDefault="00000EE3" w:rsidP="00000EE3">
          <w:pPr>
            <w:pStyle w:val="6BCCF22B7DDF4120BE939DC6599FF3E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00EE3"/>
    <w:rsid w:val="00000EE3"/>
    <w:rsid w:val="00701F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CCF22B7DDF4120BE939DC6599FF3E2">
    <w:name w:val="6BCCF22B7DDF4120BE939DC6599FF3E2"/>
    <w:rsid w:val="00000EE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6</Pages>
  <Words>1887</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INCOME TAX UPDATES 2024.25</dc:title>
  <dc:subject/>
  <dc:creator>lenovo</dc:creator>
  <cp:keywords/>
  <dc:description/>
  <cp:lastModifiedBy>lenovo</cp:lastModifiedBy>
  <cp:revision>3</cp:revision>
  <dcterms:created xsi:type="dcterms:W3CDTF">2023-12-30T07:32:00Z</dcterms:created>
  <dcterms:modified xsi:type="dcterms:W3CDTF">2023-12-30T11:27:00Z</dcterms:modified>
</cp:coreProperties>
</file>